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Arial" w:hAnsi="Arial" w:cs="Arial"/>
          <w:b/>
          <w:sz w:val="24"/>
          <w:szCs w:val="24"/>
          <w:u w:val="single"/>
        </w:rPr>
      </w:pPr>
      <w:r>
        <w:rPr>
          <w:rFonts w:cs="Arial" w:ascii="Arial" w:hAnsi="Arial"/>
          <w:b/>
          <w:sz w:val="24"/>
          <w:szCs w:val="24"/>
          <w:u w:val="single"/>
        </w:rPr>
        <w:t>INTRODUCTION</w:t>
      </w:r>
    </w:p>
    <w:p>
      <w:pPr>
        <w:pStyle w:val="Normal"/>
        <w:suppressAutoHyphens w:val="false"/>
        <w:spacing w:lineRule="auto" w:line="240" w:beforeAutospacing="1" w:afterAutospacing="1"/>
        <w:rPr>
          <w:rFonts w:ascii="Arial" w:hAnsi="Arial" w:eastAsia="Times New Roman" w:cs="Arial"/>
          <w:sz w:val="24"/>
          <w:szCs w:val="24"/>
          <w:lang w:eastAsia="fr-FR"/>
        </w:rPr>
      </w:pPr>
      <w:r>
        <w:rPr>
          <w:rFonts w:eastAsia="Times New Roman" w:cs="Arial" w:ascii="Arial" w:hAnsi="Arial"/>
          <w:sz w:val="24"/>
          <w:szCs w:val="24"/>
          <w:lang w:eastAsia="fr-FR"/>
        </w:rPr>
        <w:t>La liaison Bac Pro-BTS incarne l’ambition de l’École d’accompagner chaque jeune vers une insertion réussie ou une poursuite d’études ambitieuse. L’introduction d’un parcours de formation spécifique en terminale Bac Pro, prolongé logiquement en BTS par le « Parcours de consolidation », illustre cette démarche. Ces dispositifs articulés, au service de trajectoires professionnelles prometteuses, s’appuient sur les initiatives et l’engagement des équipes pédagogiques.</w:t>
      </w:r>
    </w:p>
    <w:p>
      <w:pPr>
        <w:pStyle w:val="Normal"/>
        <w:suppressAutoHyphens w:val="false"/>
        <w:spacing w:lineRule="auto" w:line="240" w:beforeAutospacing="1" w:afterAutospacing="1"/>
        <w:rPr>
          <w:rFonts w:ascii="Arial" w:hAnsi="Arial" w:eastAsia="Times New Roman" w:cs="Arial"/>
          <w:sz w:val="24"/>
          <w:szCs w:val="24"/>
          <w:lang w:eastAsia="fr-FR"/>
        </w:rPr>
      </w:pPr>
      <w:r>
        <w:rPr>
          <w:rFonts w:eastAsia="Times New Roman" w:cs="Arial" w:ascii="Arial" w:hAnsi="Arial"/>
          <w:sz w:val="24"/>
          <w:szCs w:val="24"/>
          <w:lang w:eastAsia="fr-FR"/>
        </w:rPr>
        <w:t>Les travaux partagés ici constituent un kit de ressources conçu pour inspirer les équipes en établissement. Ils offrent des exemples et des idées permettant de réfléchir et d’enrichir les pratiques locales. Chaque établissement est invité à s’approprier ces ressources pour élaborer des réponses adaptées à ses besoins et à ses spécificités, en tenant compte de sa réalité de terrain.</w:t>
      </w:r>
    </w:p>
    <w:p>
      <w:pPr>
        <w:pStyle w:val="Normal"/>
        <w:suppressAutoHyphens w:val="false"/>
        <w:spacing w:lineRule="auto" w:line="240" w:beforeAutospacing="1" w:afterAutospacing="1"/>
        <w:rPr>
          <w:rFonts w:ascii="Arial" w:hAnsi="Arial" w:eastAsia="Times New Roman" w:cs="Arial"/>
          <w:sz w:val="24"/>
          <w:szCs w:val="24"/>
          <w:lang w:eastAsia="fr-FR"/>
        </w:rPr>
      </w:pPr>
      <w:r>
        <w:rPr>
          <w:rFonts w:eastAsia="Times New Roman" w:cs="Arial" w:ascii="Arial" w:hAnsi="Arial"/>
          <w:sz w:val="24"/>
          <w:szCs w:val="24"/>
          <w:lang w:eastAsia="fr-FR"/>
        </w:rPr>
        <w:t>Ces ressources, inspirantes sans être modélisantes, visent à favoriser la réussite des élèves en stimulant la réflexion et la coopération entre les enseignants de Bac Pro et de BTS dans une dynamique collective.</w:t>
      </w:r>
    </w:p>
    <w:p>
      <w:pPr>
        <w:pStyle w:val="Normal"/>
        <w:numPr>
          <w:ilvl w:val="0"/>
          <w:numId w:val="0"/>
        </w:numPr>
        <w:suppressAutoHyphens w:val="false"/>
        <w:spacing w:lineRule="auto" w:line="240" w:beforeAutospacing="1" w:afterAutospacing="1"/>
        <w:ind w:hanging="0" w:left="0"/>
        <w:outlineLvl w:val="2"/>
        <w:rPr>
          <w:rFonts w:ascii="Arial" w:hAnsi="Arial" w:eastAsia="Times New Roman" w:cs="Arial"/>
          <w:b/>
          <w:bCs/>
          <w:sz w:val="24"/>
          <w:szCs w:val="24"/>
          <w:u w:val="single"/>
          <w:lang w:eastAsia="fr-FR"/>
        </w:rPr>
      </w:pPr>
      <w:r>
        <w:rPr>
          <w:rFonts w:eastAsia="Times New Roman" w:cs="Arial" w:ascii="Arial" w:hAnsi="Arial"/>
          <w:b/>
          <w:bCs/>
          <w:sz w:val="24"/>
          <w:szCs w:val="24"/>
          <w:u w:val="single"/>
          <w:lang w:eastAsia="fr-FR"/>
        </w:rPr>
        <w:t>Une Démarche Collective pour réussir la liaison Bac Pro-BTS</w:t>
      </w:r>
    </w:p>
    <w:p>
      <w:pPr>
        <w:pStyle w:val="Normal"/>
        <w:suppressAutoHyphens w:val="false"/>
        <w:spacing w:lineRule="auto" w:line="240" w:beforeAutospacing="1" w:afterAutospacing="1"/>
        <w:rPr>
          <w:rFonts w:ascii="Arial" w:hAnsi="Arial" w:eastAsia="Times New Roman" w:cs="Arial"/>
          <w:sz w:val="24"/>
          <w:szCs w:val="24"/>
          <w:lang w:eastAsia="fr-FR"/>
        </w:rPr>
      </w:pPr>
      <w:r>
        <w:rPr>
          <w:rFonts w:eastAsia="Times New Roman" w:cs="Arial" w:ascii="Arial" w:hAnsi="Arial"/>
          <w:sz w:val="24"/>
          <w:szCs w:val="24"/>
          <w:lang w:eastAsia="fr-FR"/>
        </w:rPr>
        <w:t>La réussite de la liaison Bac Pro-BTS repose sur une démarche collective, mobilisant l’ensemble des acteurs de l’établissement et, le cas échéant, d’autres établissements partenaires. Il s’agit de construire une culture commune autour des objectifs de poursuite d’études et d’accompagner les élèves vers leur nouveau rôle d’étudiant.</w:t>
      </w:r>
    </w:p>
    <w:p>
      <w:pPr>
        <w:pStyle w:val="Normal"/>
        <w:suppressAutoHyphens w:val="false"/>
        <w:spacing w:lineRule="auto" w:line="240" w:beforeAutospacing="1" w:afterAutospacing="1"/>
        <w:rPr>
          <w:rFonts w:ascii="Arial" w:hAnsi="Arial" w:eastAsia="Times New Roman" w:cs="Arial"/>
          <w:sz w:val="24"/>
          <w:szCs w:val="24"/>
          <w:lang w:eastAsia="fr-FR"/>
        </w:rPr>
      </w:pPr>
      <w:r>
        <w:rPr>
          <w:rFonts w:eastAsia="Times New Roman" w:cs="Arial" w:ascii="Arial" w:hAnsi="Arial"/>
          <w:sz w:val="24"/>
          <w:szCs w:val="24"/>
          <w:lang w:eastAsia="fr-FR"/>
        </w:rPr>
        <w:t>Cette démarche collective s’appuie sur plusieurs étapes clés :</w:t>
      </w:r>
    </w:p>
    <w:p>
      <w:pPr>
        <w:pStyle w:val="Normal"/>
        <w:numPr>
          <w:ilvl w:val="0"/>
          <w:numId w:val="2"/>
        </w:numPr>
        <w:suppressAutoHyphens w:val="false"/>
        <w:spacing w:lineRule="auto" w:line="240" w:beforeAutospacing="1" w:after="0"/>
        <w:rPr>
          <w:rFonts w:ascii="Arial" w:hAnsi="Arial" w:eastAsia="Times New Roman" w:cs="Arial"/>
          <w:sz w:val="24"/>
          <w:szCs w:val="24"/>
          <w:lang w:eastAsia="fr-FR"/>
        </w:rPr>
      </w:pPr>
      <w:r>
        <w:rPr>
          <w:rFonts w:eastAsia="Times New Roman" w:cs="Arial" w:ascii="Arial" w:hAnsi="Arial"/>
          <w:b/>
          <w:bCs/>
          <w:sz w:val="24"/>
          <w:szCs w:val="24"/>
          <w:lang w:eastAsia="fr-FR"/>
        </w:rPr>
        <w:t>Construire une culture commune :</w:t>
      </w:r>
      <w:r>
        <w:rPr>
          <w:rFonts w:eastAsia="Times New Roman" w:cs="Arial" w:ascii="Arial" w:hAnsi="Arial"/>
          <w:sz w:val="24"/>
          <w:szCs w:val="24"/>
          <w:lang w:eastAsia="fr-FR"/>
        </w:rPr>
        <w:t xml:space="preserve"> Réunir les acteurs pour partager une vision convergente des objectifs et déconstruire les idées reçues. Les conseils pédagogiques et temps de réflexion communs peuvent être des leviers précieux.</w:t>
      </w:r>
    </w:p>
    <w:p>
      <w:pPr>
        <w:pStyle w:val="Normal"/>
        <w:numPr>
          <w:ilvl w:val="0"/>
          <w:numId w:val="2"/>
        </w:numPr>
        <w:suppressAutoHyphens w:val="false"/>
        <w:spacing w:lineRule="auto" w:line="240" w:before="0" w:after="0"/>
        <w:rPr>
          <w:rFonts w:ascii="Arial" w:hAnsi="Arial" w:eastAsia="Times New Roman" w:cs="Arial"/>
          <w:sz w:val="24"/>
          <w:szCs w:val="24"/>
          <w:lang w:eastAsia="fr-FR"/>
        </w:rPr>
      </w:pPr>
      <w:r>
        <w:rPr>
          <w:rFonts w:eastAsia="Times New Roman" w:cs="Arial" w:ascii="Arial" w:hAnsi="Arial"/>
          <w:b/>
          <w:bCs/>
          <w:sz w:val="24"/>
          <w:szCs w:val="24"/>
          <w:lang w:eastAsia="fr-FR"/>
        </w:rPr>
        <w:t>Développer des activités adaptées :</w:t>
      </w:r>
      <w:r>
        <w:rPr>
          <w:rFonts w:eastAsia="Times New Roman" w:cs="Arial" w:ascii="Arial" w:hAnsi="Arial"/>
          <w:sz w:val="24"/>
          <w:szCs w:val="24"/>
          <w:lang w:eastAsia="fr-FR"/>
        </w:rPr>
        <w:t xml:space="preserve"> Proposer des approches pédagogiques innovantes, où le jeune est acteur, et introduire des compétences transversales pour l’aider à penser et agir en futur étudiant.</w:t>
      </w:r>
    </w:p>
    <w:p>
      <w:pPr>
        <w:pStyle w:val="Normal"/>
        <w:numPr>
          <w:ilvl w:val="0"/>
          <w:numId w:val="2"/>
        </w:numPr>
        <w:suppressAutoHyphens w:val="false"/>
        <w:spacing w:lineRule="auto" w:line="240" w:before="0" w:after="0"/>
        <w:rPr>
          <w:rFonts w:ascii="Arial" w:hAnsi="Arial" w:eastAsia="Times New Roman" w:cs="Arial"/>
          <w:sz w:val="24"/>
          <w:szCs w:val="24"/>
          <w:lang w:eastAsia="fr-FR"/>
        </w:rPr>
      </w:pPr>
      <w:r>
        <w:rPr>
          <w:rFonts w:eastAsia="Times New Roman" w:cs="Arial" w:ascii="Arial" w:hAnsi="Arial"/>
          <w:b/>
          <w:bCs/>
          <w:sz w:val="24"/>
          <w:szCs w:val="24"/>
          <w:lang w:eastAsia="fr-FR"/>
        </w:rPr>
        <w:t>Intégrer des modules transversaux :</w:t>
      </w:r>
      <w:r>
        <w:rPr>
          <w:rFonts w:eastAsia="Times New Roman" w:cs="Arial" w:ascii="Arial" w:hAnsi="Arial"/>
          <w:sz w:val="24"/>
          <w:szCs w:val="24"/>
          <w:lang w:eastAsia="fr-FR"/>
        </w:rPr>
        <w:t xml:space="preserve"> Tous les enseignants peuvent contribuer à des activités non disciplinaires, axées sur des compétences psychosociales pour favoriser l’autonomie et la responsabilité.</w:t>
      </w:r>
    </w:p>
    <w:p>
      <w:pPr>
        <w:pStyle w:val="Normal"/>
        <w:numPr>
          <w:ilvl w:val="0"/>
          <w:numId w:val="2"/>
        </w:numPr>
        <w:suppressAutoHyphens w:val="false"/>
        <w:spacing w:lineRule="auto" w:line="240" w:before="0" w:afterAutospacing="1"/>
        <w:rPr>
          <w:rFonts w:ascii="Arial" w:hAnsi="Arial" w:eastAsia="Times New Roman" w:cs="Arial"/>
          <w:sz w:val="24"/>
          <w:szCs w:val="24"/>
          <w:lang w:eastAsia="fr-FR"/>
        </w:rPr>
      </w:pPr>
      <w:r>
        <w:rPr>
          <w:rFonts w:eastAsia="Times New Roman" w:cs="Arial" w:ascii="Arial" w:hAnsi="Arial"/>
          <w:b/>
          <w:bCs/>
          <w:sz w:val="24"/>
          <w:szCs w:val="24"/>
          <w:lang w:eastAsia="fr-FR"/>
        </w:rPr>
        <w:t>Phaser les parcours :</w:t>
      </w:r>
      <w:r>
        <w:rPr>
          <w:rFonts w:eastAsia="Times New Roman" w:cs="Arial" w:ascii="Arial" w:hAnsi="Arial"/>
          <w:sz w:val="24"/>
          <w:szCs w:val="24"/>
          <w:lang w:eastAsia="fr-FR"/>
        </w:rPr>
        <w:t xml:space="preserve"> Organiser les étapes du dispositif (en Bac Pro et BTS) avec des objectifs précis, des ressources adaptées et une évaluation pour sensibiliser les élèves à leurs progrès.</w:t>
      </w:r>
    </w:p>
    <w:p>
      <w:pPr>
        <w:pStyle w:val="Normal"/>
        <w:suppressAutoHyphens w:val="false"/>
        <w:spacing w:lineRule="auto" w:line="240" w:beforeAutospacing="1" w:afterAutospacing="1"/>
        <w:rPr>
          <w:rFonts w:ascii="Arial" w:hAnsi="Arial" w:eastAsia="Times New Roman" w:cs="Arial"/>
          <w:sz w:val="24"/>
          <w:szCs w:val="24"/>
          <w:lang w:eastAsia="fr-FR"/>
        </w:rPr>
      </w:pPr>
      <w:r>
        <w:rPr>
          <w:rFonts w:eastAsia="Times New Roman" w:cs="Arial" w:ascii="Arial" w:hAnsi="Arial"/>
          <w:sz w:val="24"/>
          <w:szCs w:val="24"/>
          <w:lang w:eastAsia="fr-FR"/>
        </w:rPr>
        <w:t>Ensemble, ces actions permettent de fédérer les équipes pédagogiques autour d’un projet partagé, au service des trajectoires ambitieuses et de la réussite des jeunes.</w:t>
      </w:r>
    </w:p>
    <w:p>
      <w:pPr>
        <w:pStyle w:val="Normal"/>
        <w:numPr>
          <w:ilvl w:val="0"/>
          <w:numId w:val="0"/>
        </w:numPr>
        <w:bidi w:val="0"/>
        <w:spacing w:beforeAutospacing="1" w:afterAutospacing="1"/>
        <w:ind w:hanging="0" w:left="0" w:right="0"/>
        <w:outlineLvl w:val="2"/>
        <w:rPr>
          <w:rFonts w:ascii="Arial" w:hAnsi="Arial" w:cs="Arial"/>
          <w:b/>
          <w:bCs/>
          <w:sz w:val="24"/>
          <w:szCs w:val="24"/>
          <w:u w:val="single"/>
          <w:lang w:eastAsia="fr-FR"/>
        </w:rPr>
      </w:pPr>
      <w:r>
        <w:rPr>
          <w:rFonts w:cs="Arial" w:ascii="Arial" w:hAnsi="Arial"/>
          <w:b/>
          <w:bCs/>
          <w:sz w:val="24"/>
          <w:szCs w:val="24"/>
          <w:u w:val="single"/>
          <w:lang w:eastAsia="fr-FR"/>
        </w:rPr>
        <w:t>L’Appropriation des objectifs des diplômes via les référentiels</w:t>
      </w:r>
    </w:p>
    <w:p>
      <w:pPr>
        <w:pStyle w:val="Normal"/>
        <w:bidi w:val="0"/>
        <w:spacing w:beforeAutospacing="1" w:afterAutospacing="1"/>
        <w:ind w:hanging="0" w:left="0" w:right="0"/>
        <w:rPr>
          <w:rFonts w:ascii="Arial" w:hAnsi="Arial" w:cs="Arial"/>
          <w:sz w:val="24"/>
          <w:szCs w:val="24"/>
          <w:lang w:eastAsia="fr-FR"/>
        </w:rPr>
      </w:pPr>
      <w:r>
        <w:rPr>
          <w:rFonts w:cs="Arial" w:ascii="Arial" w:hAnsi="Arial"/>
          <w:sz w:val="24"/>
          <w:szCs w:val="24"/>
          <w:lang w:eastAsia="fr-FR"/>
        </w:rPr>
        <w:t xml:space="preserve">Pour renforcer cette dynamique, l’appropriation des objectifs et attendus de chaque diplôme par tous les enseignants, qu’ils interviennent en Bac Pro ou en BTS, est essentielle. Les référentiels de formation constituent un outil clé pour mieux comprendre les contextes professionnels, les activités de référence et les compétences à développer. </w:t>
      </w:r>
    </w:p>
    <w:p>
      <w:pPr>
        <w:pStyle w:val="Normal"/>
        <w:bidi w:val="0"/>
        <w:spacing w:beforeAutospacing="1" w:afterAutospacing="1"/>
        <w:ind w:hanging="0" w:left="0" w:right="0"/>
        <w:rPr>
          <w:rFonts w:ascii="Arial" w:hAnsi="Arial" w:cs="Arial"/>
          <w:sz w:val="24"/>
          <w:szCs w:val="24"/>
          <w:lang w:eastAsia="fr-FR"/>
        </w:rPr>
      </w:pPr>
      <w:r>
        <w:rPr>
          <w:rFonts w:cs="Arial" w:ascii="Arial" w:hAnsi="Arial"/>
          <w:sz w:val="24"/>
          <w:szCs w:val="24"/>
          <w:lang w:eastAsia="fr-FR"/>
        </w:rPr>
        <w:t>Pour rappel :</w:t>
      </w:r>
    </w:p>
    <w:p>
      <w:pPr>
        <w:pStyle w:val="Normal"/>
        <w:numPr>
          <w:ilvl w:val="0"/>
          <w:numId w:val="2"/>
        </w:numPr>
        <w:tabs>
          <w:tab w:val="clear" w:pos="708"/>
          <w:tab w:val="left" w:pos="720" w:leader="none"/>
        </w:tabs>
        <w:bidi w:val="0"/>
        <w:spacing w:beforeAutospacing="1" w:after="0"/>
        <w:ind w:hanging="360" w:left="720" w:right="0"/>
        <w:rPr>
          <w:rFonts w:ascii="Arial" w:hAnsi="Arial" w:cs="Arial"/>
          <w:sz w:val="24"/>
          <w:szCs w:val="24"/>
          <w:lang w:eastAsia="fr-FR"/>
        </w:rPr>
      </w:pPr>
      <w:r>
        <w:rPr>
          <w:rFonts w:cs="Arial" w:ascii="Arial" w:hAnsi="Arial"/>
          <w:b/>
          <w:bCs/>
          <w:sz w:val="24"/>
          <w:szCs w:val="24"/>
          <w:lang w:eastAsia="fr-FR"/>
        </w:rPr>
        <w:t>Le préambule du référentiel</w:t>
      </w:r>
      <w:r>
        <w:rPr>
          <w:rFonts w:cs="Arial" w:ascii="Arial" w:hAnsi="Arial"/>
          <w:sz w:val="24"/>
          <w:szCs w:val="24"/>
          <w:lang w:eastAsia="fr-FR"/>
        </w:rPr>
        <w:t xml:space="preserve"> présente les contextes et enjeux professionnels, ainsi que les grandes missions du futur titulaire du diplôme.</w:t>
      </w:r>
    </w:p>
    <w:p>
      <w:pPr>
        <w:pStyle w:val="Normal"/>
        <w:numPr>
          <w:ilvl w:val="0"/>
          <w:numId w:val="2"/>
        </w:numPr>
        <w:tabs>
          <w:tab w:val="clear" w:pos="708"/>
          <w:tab w:val="left" w:pos="720" w:leader="none"/>
        </w:tabs>
        <w:bidi w:val="0"/>
        <w:spacing w:before="0" w:after="0"/>
        <w:ind w:hanging="360" w:left="720" w:right="0"/>
        <w:rPr>
          <w:rFonts w:ascii="Arial" w:hAnsi="Arial" w:cs="Arial"/>
          <w:sz w:val="24"/>
          <w:szCs w:val="24"/>
          <w:lang w:eastAsia="fr-FR"/>
        </w:rPr>
      </w:pPr>
      <w:r>
        <w:rPr>
          <w:rFonts w:cs="Arial" w:ascii="Arial" w:hAnsi="Arial"/>
          <w:b/>
          <w:bCs/>
          <w:sz w:val="24"/>
          <w:szCs w:val="24"/>
          <w:lang w:eastAsia="fr-FR"/>
        </w:rPr>
        <w:t>Le référentiel d’activités professionnelles (RAP)</w:t>
      </w:r>
      <w:r>
        <w:rPr>
          <w:rFonts w:cs="Arial" w:ascii="Arial" w:hAnsi="Arial"/>
          <w:sz w:val="24"/>
          <w:szCs w:val="24"/>
          <w:lang w:eastAsia="fr-FR"/>
        </w:rPr>
        <w:t xml:space="preserve"> décrit les activités, les tâches et les responsabilités concrètes que les diplômés devront assumer.</w:t>
      </w:r>
    </w:p>
    <w:p>
      <w:pPr>
        <w:pStyle w:val="Normal"/>
        <w:numPr>
          <w:ilvl w:val="0"/>
          <w:numId w:val="2"/>
        </w:numPr>
        <w:tabs>
          <w:tab w:val="clear" w:pos="708"/>
          <w:tab w:val="left" w:pos="720" w:leader="none"/>
        </w:tabs>
        <w:bidi w:val="0"/>
        <w:spacing w:before="0" w:afterAutospacing="1"/>
        <w:ind w:hanging="360" w:left="720" w:right="0"/>
        <w:rPr>
          <w:rFonts w:ascii="Arial" w:hAnsi="Arial" w:cs="Arial"/>
          <w:sz w:val="24"/>
          <w:szCs w:val="24"/>
          <w:lang w:eastAsia="fr-FR"/>
        </w:rPr>
      </w:pPr>
      <w:r>
        <w:rPr>
          <w:rFonts w:cs="Arial" w:ascii="Arial" w:hAnsi="Arial"/>
          <w:b/>
          <w:bCs/>
          <w:sz w:val="24"/>
          <w:szCs w:val="24"/>
          <w:lang w:eastAsia="fr-FR"/>
        </w:rPr>
        <w:t>Le référentiel de certification (RC)</w:t>
      </w:r>
      <w:r>
        <w:rPr>
          <w:rFonts w:cs="Arial" w:ascii="Arial" w:hAnsi="Arial"/>
          <w:sz w:val="24"/>
          <w:szCs w:val="24"/>
          <w:lang w:eastAsia="fr-FR"/>
        </w:rPr>
        <w:t xml:space="preserve"> identifie les compétences professionnelles à développer et inspire des activités interdisciplinaires favorisant une transition progressive des élèves vers une posture d’étudiant.</w:t>
      </w:r>
    </w:p>
    <w:p>
      <w:pPr>
        <w:pStyle w:val="Normal"/>
        <w:bidi w:val="0"/>
        <w:spacing w:beforeAutospacing="1" w:afterAutospacing="1"/>
        <w:ind w:hanging="0" w:left="0" w:right="0"/>
        <w:rPr>
          <w:rFonts w:ascii="Arial" w:hAnsi="Arial" w:cs="Arial"/>
          <w:sz w:val="24"/>
          <w:szCs w:val="24"/>
          <w:lang w:eastAsia="fr-FR"/>
        </w:rPr>
      </w:pPr>
      <w:r>
        <w:rPr>
          <w:rFonts w:cs="Arial" w:ascii="Arial" w:hAnsi="Arial"/>
          <w:sz w:val="24"/>
          <w:szCs w:val="24"/>
          <w:lang w:eastAsia="fr-FR"/>
        </w:rPr>
        <w:t>Ces documents, accessibles en ligne, permettent d’élaborer des activités contextualisées et de renforcer la collaboration entre enseignants. Les échanges entre pairs, en présentiel ou à distance, ainsi que des temps d’observation croisée dans les classes de Bac Pro et de BTS, complètent utilement cette démarche pour mieux aligner les objectifs pédagogiques et accompagner efficacement les élèves dans leur transition.</w:t>
      </w:r>
    </w:p>
    <w:p>
      <w:pPr>
        <w:pStyle w:val="Normal"/>
        <w:suppressAutoHyphens w:val="false"/>
        <w:spacing w:lineRule="auto" w:line="240" w:beforeAutospacing="1" w:afterAutospacing="1"/>
        <w:rPr>
          <w:rFonts w:ascii="Arial" w:hAnsi="Arial" w:eastAsia="Times New Roman" w:cs="Arial"/>
          <w:sz w:val="24"/>
          <w:szCs w:val="24"/>
          <w:lang w:eastAsia="fr-FR"/>
        </w:rPr>
      </w:pPr>
      <w:bookmarkStart w:id="0" w:name="__DdeLink__39_3153092142"/>
      <w:bookmarkStart w:id="1" w:name="_GoBack"/>
      <w:bookmarkEnd w:id="1"/>
      <w:r>
        <w:rPr>
          <w:rFonts w:eastAsia="Times New Roman" w:cs="Arial" w:ascii="Arial" w:hAnsi="Arial"/>
          <w:sz w:val="24"/>
          <w:szCs w:val="24"/>
          <w:lang w:eastAsia="fr-FR"/>
        </w:rPr>
        <w:t>Les ressources académiques du parcours de poursuites d’études supérieures en BAC PRO et du parcours de consolidation en STS regroupent :</w:t>
      </w:r>
    </w:p>
    <w:p>
      <w:pPr>
        <w:pStyle w:val="Normal"/>
        <w:numPr>
          <w:ilvl w:val="0"/>
          <w:numId w:val="3"/>
        </w:numPr>
        <w:suppressAutoHyphens w:val="false"/>
        <w:spacing w:lineRule="auto" w:line="240" w:beforeAutospacing="1" w:after="0"/>
        <w:rPr/>
      </w:pPr>
      <w:r>
        <w:rPr>
          <w:rFonts w:eastAsia="Times New Roman" w:cs="Arial" w:ascii="Arial" w:hAnsi="Arial"/>
          <w:sz w:val="24"/>
          <w:szCs w:val="24"/>
          <w:lang w:eastAsia="fr-FR"/>
        </w:rPr>
        <w:t>un exemple de cahier des charges</w:t>
      </w:r>
    </w:p>
    <w:p>
      <w:pPr>
        <w:pStyle w:val="Normal"/>
        <w:numPr>
          <w:ilvl w:val="0"/>
          <w:numId w:val="3"/>
        </w:numPr>
        <w:suppressAutoHyphens w:val="false"/>
        <w:spacing w:lineRule="auto" w:line="240" w:beforeAutospacing="1" w:after="0"/>
        <w:rPr/>
      </w:pPr>
      <w:r>
        <w:rPr>
          <w:rFonts w:eastAsia="Times New Roman" w:cs="Arial" w:ascii="Arial" w:hAnsi="Arial"/>
          <w:sz w:val="24"/>
          <w:szCs w:val="24"/>
          <w:lang w:eastAsia="fr-FR"/>
        </w:rPr>
        <w:t>la démarche de projet</w:t>
      </w:r>
    </w:p>
    <w:p>
      <w:pPr>
        <w:pStyle w:val="Normal"/>
        <w:numPr>
          <w:ilvl w:val="0"/>
          <w:numId w:val="3"/>
        </w:numPr>
        <w:suppressAutoHyphens w:val="false"/>
        <w:spacing w:lineRule="auto" w:line="240" w:before="0" w:after="0"/>
        <w:rPr/>
      </w:pPr>
      <w:r>
        <w:rPr>
          <w:rFonts w:eastAsia="Times New Roman" w:cs="Arial" w:ascii="Arial" w:hAnsi="Arial"/>
          <w:sz w:val="24"/>
          <w:szCs w:val="24"/>
          <w:lang w:eastAsia="fr-FR"/>
        </w:rPr>
        <w:t>des exemples de modules</w:t>
      </w:r>
    </w:p>
    <w:p>
      <w:pPr>
        <w:pStyle w:val="Normal"/>
        <w:numPr>
          <w:ilvl w:val="0"/>
          <w:numId w:val="3"/>
        </w:numPr>
        <w:suppressAutoHyphens w:val="false"/>
        <w:spacing w:lineRule="auto" w:line="240" w:before="0" w:afterAutospacing="1"/>
        <w:rPr/>
      </w:pPr>
      <w:bookmarkStart w:id="2" w:name="__DdeLink__39_3153092142"/>
      <w:bookmarkStart w:id="3" w:name="__DdeLink__31_981592854"/>
      <w:r>
        <w:rPr>
          <w:rFonts w:eastAsia="Times New Roman" w:cs="Arial" w:ascii="Arial" w:hAnsi="Arial"/>
          <w:sz w:val="24"/>
          <w:szCs w:val="24"/>
          <w:lang w:eastAsia="fr-FR"/>
        </w:rPr>
        <w:t>un livret de suivi de l’acquisition des compétences attendues</w:t>
      </w:r>
      <w:bookmarkEnd w:id="2"/>
      <w:bookmarkEnd w:id="3"/>
    </w:p>
    <w:sectPr>
      <w:type w:val="nextPage"/>
      <w:pgSz w:w="11906" w:h="16838"/>
      <w:pgMar w:left="1417" w:right="1417" w:gutter="0" w:header="0" w:top="1417" w:footer="0" w:bottom="1417"/>
      <w:paperSrc w:first="0" w:oth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Carlito">
    <w:altName w:val="Calibri"/>
    <w:charset w:val="01"/>
    <w:family w:val="roman"/>
    <w:pitch w:val="variable"/>
  </w:font>
  <w:font w:name="Calibri">
    <w:charset w:val="01"/>
    <w:family w:val="roman"/>
    <w:pitch w:val="variable"/>
  </w:font>
  <w:font w:name="Times New Roman">
    <w:charset w:val="01"/>
    <w:family w:val="roman"/>
    <w:pitch w:val="variable"/>
  </w:font>
  <w:font w:name="OpenSymbol">
    <w:altName w:val="Arial Unicode MS"/>
    <w:charset w:val="01"/>
    <w:family w:val="auto"/>
    <w:pitch w:val="variable"/>
  </w:font>
  <w:font w:name="Arial">
    <w:charset w:val="01"/>
    <w:family w:val="swiss"/>
    <w:pitch w:val="variable"/>
  </w:font>
  <w:font w:name="Symbol">
    <w:charset w:val="02"/>
    <w:family w:val="auto"/>
    <w:pitch w:val="default"/>
  </w:font>
  <w:font w:name="Courier New">
    <w:charset w:val="01"/>
    <w:family w:val="modern"/>
    <w:pitch w:val="fixed"/>
  </w:font>
  <w:font w:name="Wingdings">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hyphenationZone w:val="425"/>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paragraph" w:styleId="Heading3">
    <w:name w:val="Heading 3"/>
    <w:basedOn w:val="Normal"/>
    <w:link w:val="Titre3Car"/>
    <w:uiPriority w:val="9"/>
    <w:qFormat/>
    <w:rsid w:val="009b6a4f"/>
    <w:pPr>
      <w:suppressAutoHyphens w:val="false"/>
      <w:spacing w:lineRule="auto" w:line="240" w:beforeAutospacing="1" w:afterAutospacing="1"/>
      <w:outlineLvl w:val="2"/>
    </w:pPr>
    <w:rPr>
      <w:rFonts w:ascii="Times New Roman" w:hAnsi="Times New Roman" w:eastAsia="Times New Roman" w:cs="Times New Roman"/>
      <w:b/>
      <w:bCs/>
      <w:sz w:val="27"/>
      <w:szCs w:val="27"/>
      <w:lang w:eastAsia="fr-FR"/>
    </w:rPr>
  </w:style>
  <w:style w:type="character" w:styleId="DefaultParagraphFont" w:default="1">
    <w:name w:val="Default Paragraph Font"/>
    <w:uiPriority w:val="1"/>
    <w:semiHidden/>
    <w:unhideWhenUsed/>
    <w:qFormat/>
    <w:rPr/>
  </w:style>
  <w:style w:type="character" w:styleId="Titre3Car" w:customStyle="1">
    <w:name w:val="Titre 3 Car"/>
    <w:basedOn w:val="DefaultParagraphFont"/>
    <w:uiPriority w:val="9"/>
    <w:qFormat/>
    <w:rsid w:val="009b6a4f"/>
    <w:rPr>
      <w:rFonts w:ascii="Times New Roman" w:hAnsi="Times New Roman" w:eastAsia="Times New Roman" w:cs="Times New Roman"/>
      <w:b/>
      <w:bCs/>
      <w:sz w:val="27"/>
      <w:szCs w:val="27"/>
      <w:lang w:eastAsia="fr-FR"/>
    </w:rPr>
  </w:style>
  <w:style w:type="character" w:styleId="Strong">
    <w:name w:val="Strong"/>
    <w:basedOn w:val="DefaultParagraphFont"/>
    <w:uiPriority w:val="22"/>
    <w:qFormat/>
    <w:rsid w:val="009b6a4f"/>
    <w:rPr>
      <w:b/>
      <w:bCs/>
    </w:rPr>
  </w:style>
  <w:style w:type="character" w:styleId="Puces">
    <w:name w:val="Puces"/>
    <w:qFormat/>
    <w:rPr>
      <w:rFonts w:ascii="OpenSymbol" w:hAnsi="OpenSymbol" w:eastAsia="OpenSymbol" w:cs="OpenSymbol"/>
    </w:rPr>
  </w:style>
  <w:style w:type="paragraph" w:styleId="Titre">
    <w:name w:val="Titre"/>
    <w:basedOn w:val="Normal"/>
    <w:next w:val="BodyText"/>
    <w:qFormat/>
    <w:pPr>
      <w:keepNext w:val="true"/>
      <w:spacing w:before="240" w:after="120"/>
    </w:pPr>
    <w:rPr>
      <w:rFonts w:ascii="Carlito" w:hAnsi="Carlito" w:eastAsia="Noto Sans SC Regular"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Index" w:customStyle="1">
    <w:name w:val="Index"/>
    <w:basedOn w:val="Normal"/>
    <w:qFormat/>
    <w:pPr>
      <w:suppressLineNumbers/>
    </w:pPr>
    <w:rPr>
      <w:rFonts w:cs="Noto Sans"/>
    </w:rPr>
  </w:style>
  <w:style w:type="paragraph" w:styleId="Title">
    <w:name w:val="Title"/>
    <w:basedOn w:val="Normal"/>
    <w:next w:val="BodyText"/>
    <w:qFormat/>
    <w:pPr>
      <w:keepNext w:val="true"/>
      <w:spacing w:before="240" w:after="120"/>
    </w:pPr>
    <w:rPr>
      <w:rFonts w:ascii="Carlito" w:hAnsi="Carlito" w:eastAsia="Noto Sans SC Regular" w:cs="Noto Sans"/>
      <w:sz w:val="28"/>
      <w:szCs w:val="28"/>
    </w:rPr>
  </w:style>
  <w:style w:type="paragraph" w:styleId="NormalWeb">
    <w:name w:val="Normal (Web)"/>
    <w:basedOn w:val="Normal"/>
    <w:uiPriority w:val="99"/>
    <w:semiHidden/>
    <w:unhideWhenUsed/>
    <w:qFormat/>
    <w:rsid w:val="009b6a4f"/>
    <w:pPr>
      <w:suppressAutoHyphens w:val="false"/>
      <w:spacing w:lineRule="auto" w:line="240" w:beforeAutospacing="1" w:afterAutospacing="1"/>
    </w:pPr>
    <w:rPr>
      <w:rFonts w:ascii="Times New Roman" w:hAnsi="Times New Roman" w:eastAsia="Times New Roman" w:cs="Times New Roman"/>
      <w:sz w:val="24"/>
      <w:szCs w:val="24"/>
      <w:lang w:eastAsia="fr-FR"/>
    </w:rPr>
  </w:style>
  <w:style w:type="numbering" w:styleId="Pasdeliste" w:customStyle="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111</TotalTime>
  <Application>Collabora_Office/24.04.6.3$Linux_X86_64 LibreOffice_project/c7dc432db1ebfff42d5280dd4bf60b6d85417e15</Application>
  <AppVersion>15.0000</AppVersion>
  <Pages>2</Pages>
  <Words>602</Words>
  <Characters>3572</Characters>
  <CharactersWithSpaces>4140</CharactersWithSpaces>
  <Paragraphs>24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2024-12-04T17:22:00Z</dcterms:created>
  <dc:creator>Franck JARGEAIS</dc:creator>
  <dc:description/>
  <dc:language>fr-FR</dc:language>
  <cp:lastModifiedBy/>
  <dcterms:modified xsi:type="dcterms:W3CDTF">2024-12-13T16:23:34Z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