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867" w:rsidRDefault="00FC5867" w:rsidP="00FC58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asciiTheme="majorHAnsi" w:hAnsiTheme="majorHAnsi"/>
        </w:rPr>
      </w:pPr>
      <w:r w:rsidRPr="00FC5867">
        <w:rPr>
          <w:rFonts w:asciiTheme="majorHAnsi" w:hAnsiTheme="majorHAnsi"/>
          <w:b/>
        </w:rPr>
        <w:t>Remarque préliminaire</w:t>
      </w:r>
      <w:r>
        <w:rPr>
          <w:rFonts w:asciiTheme="majorHAnsi" w:hAnsiTheme="majorHAnsi"/>
        </w:rPr>
        <w:t> : ces fiches proposent des exemples de modules qui peuvent être déclinées sur d’autres situations d’apprentissage. Elles peuvent aussi bien être utilisées dans le cadre du parcours « poursuite d’études supérieures » en bac professionnel que dans le parcours de consolidation en STS.</w:t>
      </w:r>
    </w:p>
    <w:p w:rsidR="00A460B0" w:rsidRDefault="00492691">
      <w:pPr>
        <w:shd w:val="clear" w:color="auto" w:fill="FBD4B4" w:themeFill="accent6" w:themeFillTint="66"/>
        <w:spacing w:after="24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2.1</w:t>
      </w:r>
      <w:r>
        <w:rPr>
          <w:rFonts w:asciiTheme="majorHAnsi" w:hAnsiTheme="majorHAnsi"/>
        </w:rPr>
        <w:tab/>
        <w:t xml:space="preserve"> MODULE "ANALYSE ET ARGUMENTATION" 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Objectifs de ce module</w:t>
      </w:r>
      <w:r>
        <w:rPr>
          <w:rFonts w:asciiTheme="majorHAnsi" w:hAnsiTheme="majorHAnsi"/>
        </w:rPr>
        <w:t xml:space="preserve"> : Renforcer les capacités de l’élève à construire une analyse dans l’objectif de répondre de façon argumentée à une problématique. </w:t>
      </w:r>
    </w:p>
    <w:p w:rsidR="00A460B0" w:rsidRDefault="00492691">
      <w:pPr>
        <w:spacing w:after="240" w:line="240" w:lineRule="auto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Par qui</w:t>
      </w:r>
      <w:r>
        <w:rPr>
          <w:rFonts w:asciiTheme="majorHAnsi" w:hAnsiTheme="majorHAnsi"/>
        </w:rPr>
        <w:t> ? U</w:t>
      </w:r>
      <w:r w:rsidR="00FD3CC2">
        <w:rPr>
          <w:rFonts w:asciiTheme="majorHAnsi" w:hAnsiTheme="majorHAnsi"/>
        </w:rPr>
        <w:t>n professeur de lettres</w:t>
      </w:r>
      <w:r>
        <w:rPr>
          <w:rFonts w:asciiTheme="majorHAnsi" w:hAnsiTheme="majorHAnsi"/>
        </w:rPr>
        <w:t xml:space="preserve"> et/ou enseignement professionnel.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Pourquoi ce module ?</w:t>
      </w:r>
      <w:r>
        <w:rPr>
          <w:rFonts w:asciiTheme="majorHAnsi" w:hAnsiTheme="majorHAnsi"/>
        </w:rPr>
        <w:t xml:space="preserve"> Les </w:t>
      </w:r>
      <w:r w:rsidR="00FD3CC2">
        <w:rPr>
          <w:rFonts w:asciiTheme="majorHAnsi" w:hAnsiTheme="majorHAnsi"/>
        </w:rPr>
        <w:t>(futurs) étudiants</w:t>
      </w:r>
      <w:r>
        <w:rPr>
          <w:rFonts w:asciiTheme="majorHAnsi" w:hAnsiTheme="majorHAnsi"/>
        </w:rPr>
        <w:t xml:space="preserve"> </w:t>
      </w:r>
      <w:r w:rsidR="00840D20">
        <w:rPr>
          <w:rFonts w:asciiTheme="majorHAnsi" w:hAnsiTheme="majorHAnsi"/>
        </w:rPr>
        <w:t>ne maî</w:t>
      </w:r>
      <w:r>
        <w:rPr>
          <w:rFonts w:asciiTheme="majorHAnsi" w:hAnsiTheme="majorHAnsi"/>
        </w:rPr>
        <w:t xml:space="preserve">trisent pas toujours les outils leur permettant d’analyser et d’argumenter ; il convient de travailler avec </w:t>
      </w:r>
      <w:r w:rsidR="00FD3CC2">
        <w:rPr>
          <w:rFonts w:asciiTheme="majorHAnsi" w:hAnsiTheme="majorHAnsi"/>
        </w:rPr>
        <w:t>eux</w:t>
      </w:r>
      <w:r>
        <w:rPr>
          <w:rFonts w:asciiTheme="majorHAnsi" w:hAnsiTheme="majorHAnsi"/>
        </w:rPr>
        <w:t xml:space="preserve"> différents points : </w:t>
      </w:r>
    </w:p>
    <w:p w:rsidR="00A460B0" w:rsidRDefault="00492691">
      <w:pPr>
        <w:pStyle w:val="Paragraphedeliste"/>
        <w:numPr>
          <w:ilvl w:val="1"/>
          <w:numId w:val="4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Comprendre le sens général du(des) document(s) ;</w:t>
      </w:r>
    </w:p>
    <w:p w:rsidR="00A460B0" w:rsidRDefault="00492691">
      <w:pPr>
        <w:pStyle w:val="Paragraphedeliste"/>
        <w:numPr>
          <w:ilvl w:val="1"/>
          <w:numId w:val="4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Sélectionner les informations pertinentes, les hiérarchiser ;</w:t>
      </w:r>
    </w:p>
    <w:p w:rsidR="00A460B0" w:rsidRDefault="00492691">
      <w:pPr>
        <w:pStyle w:val="Paragraphedeliste"/>
        <w:numPr>
          <w:ilvl w:val="1"/>
          <w:numId w:val="4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Expliciter les informations ;</w:t>
      </w:r>
    </w:p>
    <w:p w:rsidR="00A460B0" w:rsidRDefault="00492691">
      <w:pPr>
        <w:pStyle w:val="Paragraphedeliste"/>
        <w:numPr>
          <w:ilvl w:val="1"/>
          <w:numId w:val="4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Procéder à l’analyse critique ;</w:t>
      </w:r>
    </w:p>
    <w:p w:rsidR="00A460B0" w:rsidRDefault="00492691">
      <w:pPr>
        <w:pStyle w:val="Paragraphedeliste"/>
        <w:numPr>
          <w:ilvl w:val="1"/>
          <w:numId w:val="4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Structurer et organiser sa réponse en mobilisant le vocabulaire professionnel ;</w:t>
      </w:r>
    </w:p>
    <w:p w:rsidR="00A460B0" w:rsidRDefault="00FC5867">
      <w:pPr>
        <w:pStyle w:val="Paragraphedeliste"/>
        <w:numPr>
          <w:ilvl w:val="1"/>
          <w:numId w:val="4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Éviter</w:t>
      </w:r>
      <w:r w:rsidR="00492691">
        <w:rPr>
          <w:rFonts w:asciiTheme="majorHAnsi" w:hAnsiTheme="majorHAnsi"/>
        </w:rPr>
        <w:t xml:space="preserve"> la paraphrase 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Comment va se dérouler ce module ?</w:t>
      </w:r>
    </w:p>
    <w:p w:rsidR="00A460B0" w:rsidRDefault="00FC5867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Phase 1 (150’) : à </w:t>
      </w:r>
      <w:r w:rsidR="00492691">
        <w:rPr>
          <w:rFonts w:asciiTheme="majorHAnsi" w:hAnsiTheme="majorHAnsi"/>
        </w:rPr>
        <w:t>partir d’un thème (o</w:t>
      </w:r>
      <w:r>
        <w:rPr>
          <w:rFonts w:asciiTheme="majorHAnsi" w:hAnsiTheme="majorHAnsi"/>
        </w:rPr>
        <w:t>u projet) de leur choix, au</w:t>
      </w:r>
      <w:r w:rsidR="00492691">
        <w:rPr>
          <w:rFonts w:asciiTheme="majorHAnsi" w:hAnsiTheme="majorHAnsi"/>
        </w:rPr>
        <w:t xml:space="preserve">quel les </w:t>
      </w:r>
      <w:r>
        <w:rPr>
          <w:rFonts w:asciiTheme="majorHAnsi" w:hAnsiTheme="majorHAnsi"/>
        </w:rPr>
        <w:t>jeunes</w:t>
      </w:r>
      <w:r w:rsidR="00492691">
        <w:rPr>
          <w:rFonts w:asciiTheme="majorHAnsi" w:hAnsiTheme="majorHAnsi"/>
        </w:rPr>
        <w:t xml:space="preserve"> portent un intérêt, ils devront dégager la problématique et construire un raisonnement structuré. </w:t>
      </w:r>
    </w:p>
    <w:p w:rsidR="00A460B0" w:rsidRDefault="0049269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Phase 2 (120’) : Animation sous forme de débat et restitution sous forme de note/synthèse structurée.</w:t>
      </w:r>
    </w:p>
    <w:p w:rsidR="00A460B0" w:rsidRDefault="0049269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Phase 3 (15’) : </w:t>
      </w:r>
      <w:r w:rsidR="00FC5867">
        <w:rPr>
          <w:rFonts w:asciiTheme="majorHAnsi" w:hAnsiTheme="majorHAnsi"/>
        </w:rPr>
        <w:t>Évaluation</w:t>
      </w:r>
      <w:r>
        <w:rPr>
          <w:rFonts w:asciiTheme="majorHAnsi" w:hAnsiTheme="majorHAnsi"/>
        </w:rPr>
        <w:t xml:space="preserve"> globale du module à l’aide de l’Annexe 1. 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Quelques exemples :</w:t>
      </w:r>
    </w:p>
    <w:p w:rsidR="00A460B0" w:rsidRDefault="00492691">
      <w:pPr>
        <w:pStyle w:val="Paragraphedeliste"/>
        <w:numPr>
          <w:ilvl w:val="0"/>
          <w:numId w:val="5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Dans le domaine tertiaire : analyser les caractéristiques d’un produit afin de construire une argumentation ; convaincre un client potentiel lors d’une négociation de vente, animer des réunions d’équipe …</w:t>
      </w:r>
    </w:p>
    <w:p w:rsidR="00A460B0" w:rsidRDefault="00A460B0">
      <w:pPr>
        <w:pStyle w:val="Paragraphedeliste"/>
        <w:spacing w:after="240" w:line="240" w:lineRule="auto"/>
        <w:jc w:val="both"/>
        <w:rPr>
          <w:rFonts w:asciiTheme="majorHAnsi" w:hAnsiTheme="majorHAnsi"/>
        </w:rPr>
      </w:pPr>
    </w:p>
    <w:p w:rsidR="00A460B0" w:rsidRDefault="00492691">
      <w:pPr>
        <w:pStyle w:val="Paragraphedeliste"/>
        <w:numPr>
          <w:ilvl w:val="0"/>
          <w:numId w:val="5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Dans le domaine industriel : analyser une documentation technique constructeur ; proposer au client une intervention adaptée ; échanger avec des professionnels en interne ou en externe (animation de réunions d’équipe, avec des </w:t>
      </w:r>
      <w:proofErr w:type="gramStart"/>
      <w:r>
        <w:rPr>
          <w:rFonts w:asciiTheme="majorHAnsi" w:hAnsiTheme="majorHAnsi"/>
        </w:rPr>
        <w:t>tiers)…</w:t>
      </w:r>
      <w:proofErr w:type="gramEnd"/>
    </w:p>
    <w:p w:rsidR="00A460B0" w:rsidRDefault="00A460B0">
      <w:pPr>
        <w:pStyle w:val="Paragraphedeliste"/>
        <w:rPr>
          <w:rFonts w:asciiTheme="majorHAnsi" w:hAnsiTheme="majorHAnsi"/>
        </w:rPr>
      </w:pPr>
    </w:p>
    <w:p w:rsidR="00A460B0" w:rsidRDefault="00492691">
      <w:pPr>
        <w:pStyle w:val="Paragraphedeliste"/>
        <w:numPr>
          <w:ilvl w:val="0"/>
          <w:numId w:val="5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Dans le domaine services à la personne : accompagner les usagers ; effectuer la proposition argumentée d’une nouvelle offre ; organiser et animer des réunions ; prospecter et fidéliser dans le secteur sanitaire et social …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Mode d’organisation de travail avec les </w:t>
      </w:r>
      <w:r w:rsidR="00C33D13">
        <w:rPr>
          <w:rFonts w:asciiTheme="majorHAnsi" w:hAnsiTheme="majorHAnsi"/>
          <w:b/>
        </w:rPr>
        <w:t>(futurs) étudiants</w:t>
      </w:r>
      <w:bookmarkStart w:id="0" w:name="_GoBack"/>
      <w:bookmarkEnd w:id="0"/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:</w:t>
      </w:r>
    </w:p>
    <w:p w:rsidR="00A460B0" w:rsidRDefault="00492691" w:rsidP="00FD3CC2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</w:t>
      </w:r>
      <w:r w:rsidR="00FD3CC2">
        <w:rPr>
          <w:rFonts w:asciiTheme="majorHAnsi" w:hAnsiTheme="majorHAnsi"/>
        </w:rPr>
        <w:t>apprenants</w:t>
      </w:r>
      <w:r>
        <w:rPr>
          <w:rFonts w:asciiTheme="majorHAnsi" w:hAnsiTheme="majorHAnsi"/>
        </w:rPr>
        <w:t xml:space="preserve"> travaillent par thème et essentiellement en petit groupe (binôme). </w:t>
      </w:r>
    </w:p>
    <w:p w:rsidR="00A460B0" w:rsidRDefault="00492691" w:rsidP="00FD3CC2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Les lieux utilisés : salles de cours</w:t>
      </w:r>
    </w:p>
    <w:p w:rsidR="00A460B0" w:rsidRDefault="00492691" w:rsidP="00FD3CC2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</w:t>
      </w:r>
      <w:r w:rsidR="00FD3CC2">
        <w:rPr>
          <w:rFonts w:asciiTheme="majorHAnsi" w:hAnsiTheme="majorHAnsi"/>
        </w:rPr>
        <w:t>apprenants</w:t>
      </w:r>
      <w:r>
        <w:rPr>
          <w:rFonts w:asciiTheme="majorHAnsi" w:hAnsiTheme="majorHAnsi"/>
        </w:rPr>
        <w:t xml:space="preserve"> ont accès à toutes les ressources : Internet (sites généralistes et sites spécialisés), les ressources documentaires du CDI, les dictionnaires, les revues professionnelles et les professeurs. </w:t>
      </w:r>
    </w:p>
    <w:p w:rsidR="00A460B0" w:rsidRDefault="00492691" w:rsidP="00FD3CC2">
      <w:pPr>
        <w:pStyle w:val="Paragraphedeliste"/>
        <w:numPr>
          <w:ilvl w:val="0"/>
          <w:numId w:val="2"/>
        </w:numPr>
        <w:spacing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</w:t>
      </w:r>
      <w:r w:rsidR="00FD3CC2">
        <w:rPr>
          <w:rFonts w:asciiTheme="majorHAnsi" w:hAnsiTheme="majorHAnsi"/>
        </w:rPr>
        <w:t xml:space="preserve">apprenants sont ANIMATEURS </w:t>
      </w:r>
      <w:r>
        <w:rPr>
          <w:rFonts w:asciiTheme="majorHAnsi" w:hAnsiTheme="majorHAnsi"/>
        </w:rPr>
        <w:t xml:space="preserve">et ACTEURS. </w:t>
      </w:r>
    </w:p>
    <w:p w:rsidR="00A460B0" w:rsidRDefault="00492691">
      <w:pPr>
        <w:shd w:val="clear" w:color="auto" w:fill="FBD4B4" w:themeFill="accent6" w:themeFillTint="66"/>
        <w:spacing w:after="24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2.2 </w:t>
      </w:r>
      <w:r>
        <w:rPr>
          <w:rFonts w:asciiTheme="majorHAnsi" w:hAnsiTheme="majorHAnsi"/>
        </w:rPr>
        <w:tab/>
        <w:t xml:space="preserve">MODULE "EXPRESSION ECRITE ET ORALE" 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Objectif de ce module</w:t>
      </w:r>
      <w:r>
        <w:rPr>
          <w:rFonts w:asciiTheme="majorHAnsi" w:hAnsiTheme="majorHAnsi"/>
        </w:rPr>
        <w:t> : apporter les renforts notionnels nécessaires pour permettre aux futurs étudiant</w:t>
      </w:r>
      <w:r w:rsidR="00FD3CC2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de </w:t>
      </w:r>
      <w:r>
        <w:rPr>
          <w:rFonts w:asciiTheme="majorHAnsi" w:eastAsia="Times New Roman" w:hAnsiTheme="majorHAnsi" w:cs="Times New Roman"/>
          <w:color w:val="000000"/>
          <w:lang w:eastAsia="fr-FR"/>
        </w:rPr>
        <w:t>savoir rédiger, structurer ses idées, reformuler, acquérir des automatismes de la langue dans des situations de la vie professionnelle, et mettre l’élève face à des situations de communication variées.</w:t>
      </w:r>
    </w:p>
    <w:p w:rsidR="00A460B0" w:rsidRDefault="00492691">
      <w:pPr>
        <w:spacing w:after="240" w:line="240" w:lineRule="auto"/>
        <w:rPr>
          <w:rFonts w:asciiTheme="majorHAnsi" w:hAnsiTheme="majorHAnsi"/>
        </w:rPr>
      </w:pPr>
      <w:bookmarkStart w:id="1" w:name="_Hlk92814108"/>
      <w:r>
        <w:rPr>
          <w:rFonts w:asciiTheme="majorHAnsi" w:hAnsiTheme="majorHAnsi"/>
          <w:b/>
          <w:bCs/>
        </w:rPr>
        <w:t>Par qui</w:t>
      </w:r>
      <w:r>
        <w:rPr>
          <w:rFonts w:asciiTheme="majorHAnsi" w:hAnsiTheme="majorHAnsi"/>
        </w:rPr>
        <w:t> ? U</w:t>
      </w:r>
      <w:r w:rsidR="00FD3CC2">
        <w:rPr>
          <w:rFonts w:asciiTheme="majorHAnsi" w:hAnsiTheme="majorHAnsi"/>
        </w:rPr>
        <w:t>n professeur de lettres</w:t>
      </w:r>
      <w:r>
        <w:rPr>
          <w:rFonts w:asciiTheme="majorHAnsi" w:hAnsiTheme="majorHAnsi"/>
        </w:rPr>
        <w:t>.</w:t>
      </w:r>
      <w:bookmarkEnd w:id="1"/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Pourquoi ce module ?</w:t>
      </w:r>
      <w:r>
        <w:rPr>
          <w:rFonts w:asciiTheme="majorHAnsi" w:hAnsiTheme="majorHAnsi"/>
        </w:rPr>
        <w:t xml:space="preserve"> Les étudiants ont souvent des difficultés à :</w:t>
      </w:r>
    </w:p>
    <w:p w:rsidR="00A460B0" w:rsidRDefault="00492691">
      <w:pPr>
        <w:numPr>
          <w:ilvl w:val="0"/>
          <w:numId w:val="3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Développer une argumentation avec un esprit critique ;</w:t>
      </w:r>
    </w:p>
    <w:p w:rsidR="00A460B0" w:rsidRDefault="00492691">
      <w:pPr>
        <w:numPr>
          <w:ilvl w:val="0"/>
          <w:numId w:val="3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Se servir aisément des différents registres d’expression écrite et orale de la langue française ;</w:t>
      </w:r>
    </w:p>
    <w:p w:rsidR="00A460B0" w:rsidRDefault="00492691">
      <w:pPr>
        <w:numPr>
          <w:ilvl w:val="0"/>
          <w:numId w:val="3"/>
        </w:num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Disposer d’une expérience personnelle d’analyse et/ou de production de dispositifs, objets et systèmes informationnels et communicationnels.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Comment va se dérouler ce module ?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Après avoir abordé les différentes étapes de l’expression écrite (comment passer de l’oral à l’écrit ? Faut-il toujours élaborer un plan ? Comment se relire ?), le module est structuré autour d’exercices pratiques visant à identifier et savoir manier les différents registres de la langue française et les registres adaptés à la communication professionnelle.</w:t>
      </w:r>
    </w:p>
    <w:p w:rsidR="00A460B0" w:rsidRDefault="00492691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Phase 1 (80’) : A p</w:t>
      </w:r>
      <w:r w:rsidR="00C33D13">
        <w:rPr>
          <w:rFonts w:asciiTheme="majorHAnsi" w:hAnsiTheme="majorHAnsi"/>
        </w:rPr>
        <w:t>artir d’un thème, amener l’élève</w:t>
      </w:r>
      <w:r>
        <w:rPr>
          <w:rFonts w:asciiTheme="majorHAnsi" w:hAnsiTheme="majorHAnsi"/>
        </w:rPr>
        <w:t xml:space="preserve"> à expliquer à l’oral ou à l’écrit sa</w:t>
      </w:r>
    </w:p>
    <w:p w:rsidR="00A460B0" w:rsidRDefault="00492691">
      <w:pPr>
        <w:pStyle w:val="Paragraphedeliste"/>
        <w:spacing w:after="0" w:line="240" w:lineRule="auto"/>
        <w:contextualSpacing w:val="0"/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démarche</w:t>
      </w:r>
      <w:proofErr w:type="gramEnd"/>
      <w:r>
        <w:rPr>
          <w:rFonts w:asciiTheme="majorHAnsi" w:hAnsiTheme="majorHAnsi"/>
        </w:rPr>
        <w:t>, son raisonnement..., en comprenant les explications d’un autre et en argumentant dans l’échange.</w:t>
      </w:r>
    </w:p>
    <w:p w:rsidR="00A460B0" w:rsidRDefault="00A460B0">
      <w:pPr>
        <w:pStyle w:val="Paragraphedeliste"/>
        <w:spacing w:after="0" w:line="240" w:lineRule="auto"/>
        <w:contextualSpacing w:val="0"/>
        <w:jc w:val="both"/>
        <w:rPr>
          <w:rFonts w:asciiTheme="majorHAnsi" w:hAnsiTheme="majorHAnsi"/>
        </w:rPr>
      </w:pPr>
    </w:p>
    <w:p w:rsidR="00A460B0" w:rsidRDefault="0049269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Phase 2 (55’) : Restitution orale, auprès des autres groupes, du travail effectué.</w:t>
      </w:r>
    </w:p>
    <w:p w:rsidR="00A460B0" w:rsidRDefault="0049269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Phase 3 (55’) : Mise en commun des outils et synthèse des méthodes utilisées. </w:t>
      </w:r>
    </w:p>
    <w:p w:rsidR="00A460B0" w:rsidRDefault="00492691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Phase 4 (15’) : </w:t>
      </w:r>
      <w:r w:rsidR="00840D20">
        <w:rPr>
          <w:rFonts w:asciiTheme="majorHAnsi" w:hAnsiTheme="majorHAnsi"/>
        </w:rPr>
        <w:t>Évaluation</w:t>
      </w:r>
      <w:r>
        <w:rPr>
          <w:rFonts w:asciiTheme="majorHAnsi" w:hAnsiTheme="majorHAnsi"/>
        </w:rPr>
        <w:t xml:space="preserve"> globale du module</w:t>
      </w:r>
      <w:bookmarkStart w:id="2" w:name="_Hlk93390512"/>
      <w:r>
        <w:rPr>
          <w:rFonts w:asciiTheme="majorHAnsi" w:hAnsiTheme="majorHAnsi"/>
        </w:rPr>
        <w:t xml:space="preserve"> à l’aide de l’Annexe 1</w:t>
      </w:r>
      <w:bookmarkEnd w:id="2"/>
      <w:r>
        <w:rPr>
          <w:rFonts w:asciiTheme="majorHAnsi" w:hAnsiTheme="majorHAnsi"/>
        </w:rPr>
        <w:t xml:space="preserve">. </w:t>
      </w:r>
    </w:p>
    <w:p w:rsidR="00A460B0" w:rsidRDefault="00492691">
      <w:pPr>
        <w:spacing w:after="2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Mode d’organisation de travail avec les </w:t>
      </w:r>
      <w:r w:rsidR="006E5A1C">
        <w:rPr>
          <w:rFonts w:asciiTheme="majorHAnsi" w:hAnsiTheme="majorHAnsi"/>
          <w:b/>
        </w:rPr>
        <w:t>(futurs) étudiants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:</w:t>
      </w:r>
    </w:p>
    <w:p w:rsidR="00A460B0" w:rsidRDefault="00492691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</w:t>
      </w:r>
      <w:r w:rsidR="00840D20">
        <w:rPr>
          <w:rFonts w:asciiTheme="majorHAnsi" w:hAnsiTheme="majorHAnsi"/>
        </w:rPr>
        <w:t>apprenants</w:t>
      </w:r>
      <w:r>
        <w:rPr>
          <w:rFonts w:asciiTheme="majorHAnsi" w:hAnsiTheme="majorHAnsi"/>
        </w:rPr>
        <w:t xml:space="preserve"> travaillent ess</w:t>
      </w:r>
      <w:r w:rsidR="006E5A1C">
        <w:rPr>
          <w:rFonts w:asciiTheme="majorHAnsi" w:hAnsiTheme="majorHAnsi"/>
        </w:rPr>
        <w:t>entiellement en petit groupe de 3 ou 4</w:t>
      </w:r>
      <w:r>
        <w:rPr>
          <w:rFonts w:asciiTheme="majorHAnsi" w:hAnsiTheme="majorHAnsi"/>
        </w:rPr>
        <w:t xml:space="preserve">. </w:t>
      </w:r>
    </w:p>
    <w:p w:rsidR="00A460B0" w:rsidRDefault="00492691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Les lieux utilisés : salles de cours.</w:t>
      </w:r>
    </w:p>
    <w:p w:rsidR="00A460B0" w:rsidRDefault="00492691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</w:t>
      </w:r>
      <w:r w:rsidR="00840D20">
        <w:rPr>
          <w:rFonts w:asciiTheme="majorHAnsi" w:hAnsiTheme="majorHAnsi"/>
        </w:rPr>
        <w:t>apprenants</w:t>
      </w:r>
      <w:r>
        <w:rPr>
          <w:rFonts w:asciiTheme="majorHAnsi" w:hAnsiTheme="majorHAnsi"/>
        </w:rPr>
        <w:t xml:space="preserve"> ont accès à toutes les ressources : Internet (sites généralistes et sites spécialisés), les ressources documentaires du CDI, les dictionnaires, les revues professionnelles et les professeurs. </w:t>
      </w:r>
    </w:p>
    <w:p w:rsidR="00A460B0" w:rsidRDefault="00492691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</w:t>
      </w:r>
      <w:r w:rsidR="00840D20">
        <w:rPr>
          <w:rFonts w:asciiTheme="majorHAnsi" w:hAnsiTheme="majorHAnsi"/>
        </w:rPr>
        <w:t>apprenants</w:t>
      </w:r>
      <w:r>
        <w:rPr>
          <w:rFonts w:asciiTheme="majorHAnsi" w:hAnsiTheme="majorHAnsi"/>
        </w:rPr>
        <w:t xml:space="preserve"> sont ACTEURS. </w:t>
      </w:r>
    </w:p>
    <w:p w:rsidR="00AA0B68" w:rsidRDefault="00AA0B68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AA0B68" w:rsidRDefault="00AA0B68">
      <w:pPr>
        <w:spacing w:after="240" w:line="240" w:lineRule="auto"/>
        <w:rPr>
          <w:rFonts w:asciiTheme="majorHAnsi" w:hAnsiTheme="majorHAnsi"/>
          <w:b/>
        </w:rPr>
      </w:pPr>
      <w:r w:rsidRPr="00AA0B68">
        <w:rPr>
          <w:rFonts w:asciiTheme="majorHAnsi" w:hAnsiTheme="majorHAnsi"/>
          <w:b/>
        </w:rPr>
        <w:lastRenderedPageBreak/>
        <w:t xml:space="preserve">ANNEXE 1 : grilles d’évaluation des modules </w:t>
      </w:r>
    </w:p>
    <w:p w:rsidR="00AA0B68" w:rsidRPr="00574C80" w:rsidRDefault="00574C80" w:rsidP="00574C80">
      <w:pPr>
        <w:spacing w:after="240" w:line="240" w:lineRule="auto"/>
        <w:rPr>
          <w:rFonts w:asciiTheme="majorHAnsi" w:hAnsiTheme="majorHAnsi"/>
          <w:i/>
        </w:rPr>
      </w:pPr>
      <w:r w:rsidRPr="00574C80">
        <w:rPr>
          <w:rFonts w:asciiTheme="majorHAnsi" w:hAnsiTheme="majorHAnsi"/>
          <w:i/>
        </w:rPr>
        <w:t>Les compétences ciblées ici peuvent également être transcrites et évaluées dans le tableau de suivi de l’acquisition des compétences.</w:t>
      </w:r>
    </w:p>
    <w:p w:rsidR="00AA0B68" w:rsidRDefault="00AA0B68" w:rsidP="00AA0B68">
      <w:pPr>
        <w:shd w:val="clear" w:color="auto" w:fill="FBD4B4" w:themeFill="accent6" w:themeFillTint="66"/>
        <w:spacing w:after="240" w:line="240" w:lineRule="auto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PROPOSITION D’EVALUATION DU MODULE "ANALYSE ET ARGUMENTATION" </w:t>
      </w:r>
    </w:p>
    <w:tbl>
      <w:tblPr>
        <w:tblStyle w:val="Grilledutableau"/>
        <w:tblpPr w:leftFromText="141" w:rightFromText="141" w:vertAnchor="text" w:horzAnchor="margin" w:tblpXSpec="center" w:tblpY="307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503"/>
        <w:gridCol w:w="1133"/>
        <w:gridCol w:w="1135"/>
        <w:gridCol w:w="1133"/>
        <w:gridCol w:w="1135"/>
      </w:tblGrid>
      <w:tr w:rsidR="00AA0B68" w:rsidTr="00E446D1">
        <w:trPr>
          <w:trHeight w:val="510"/>
          <w:jc w:val="center"/>
        </w:trPr>
        <w:tc>
          <w:tcPr>
            <w:tcW w:w="4503" w:type="dxa"/>
            <w:shd w:val="clear" w:color="auto" w:fill="EAF1DD" w:themeFill="accent3" w:themeFillTint="33"/>
            <w:vAlign w:val="center"/>
          </w:tcPr>
          <w:p w:rsidR="00AA0B68" w:rsidRDefault="00AA0B68" w:rsidP="006E5A1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Theme="majorHAnsi" w:eastAsia="Calibri" w:hAnsiTheme="majorHAnsi"/>
                <w:b/>
              </w:rPr>
              <w:t xml:space="preserve">À l’issue du module, </w:t>
            </w:r>
            <w:r w:rsidR="006E5A1C">
              <w:rPr>
                <w:rFonts w:asciiTheme="majorHAnsi" w:eastAsia="Calibri" w:hAnsiTheme="majorHAnsi"/>
                <w:b/>
              </w:rPr>
              <w:t>le (futur) étudiant</w:t>
            </w:r>
            <w:r>
              <w:rPr>
                <w:rFonts w:asciiTheme="majorHAnsi" w:eastAsia="Calibri" w:hAnsiTheme="majorHAnsi"/>
                <w:b/>
              </w:rPr>
              <w:t xml:space="preserve"> est apte à</w:t>
            </w:r>
            <w:r w:rsidR="006E5A1C">
              <w:rPr>
                <w:rFonts w:asciiTheme="majorHAnsi" w:eastAsia="Calibri" w:hAnsiTheme="majorHAnsi"/>
                <w:b/>
              </w:rPr>
              <w:t xml:space="preserve"> : </w:t>
            </w:r>
          </w:p>
        </w:tc>
        <w:tc>
          <w:tcPr>
            <w:tcW w:w="1133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Novice</w:t>
            </w:r>
          </w:p>
        </w:tc>
        <w:tc>
          <w:tcPr>
            <w:tcW w:w="1135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Apprenti</w:t>
            </w:r>
          </w:p>
        </w:tc>
        <w:tc>
          <w:tcPr>
            <w:tcW w:w="1133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Confirmé</w:t>
            </w:r>
          </w:p>
        </w:tc>
        <w:tc>
          <w:tcPr>
            <w:tcW w:w="1135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Expert</w:t>
            </w: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Comprendre et analyser un dossier documentaire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Sélectionner les informations pertinentes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Argumenter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Structurer sa réponse en utilisant le vocabulaire professionnel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Répondre à une problématique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Enrichir son analyse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</w:tbl>
    <w:p w:rsidR="00AA0B68" w:rsidRDefault="00AA0B68" w:rsidP="00AA0B68">
      <w:pPr>
        <w:spacing w:after="240" w:line="240" w:lineRule="auto"/>
        <w:jc w:val="both"/>
        <w:rPr>
          <w:rFonts w:asciiTheme="majorHAnsi" w:hAnsiTheme="majorHAnsi"/>
          <w:sz w:val="24"/>
          <w:szCs w:val="24"/>
        </w:rPr>
      </w:pPr>
    </w:p>
    <w:p w:rsidR="00840D20" w:rsidRDefault="00840D20" w:rsidP="00840D20">
      <w:pPr>
        <w:spacing w:after="24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AA0B68" w:rsidRDefault="00AA0B68" w:rsidP="00AA0B68">
      <w:pPr>
        <w:shd w:val="clear" w:color="auto" w:fill="FBD4B4" w:themeFill="accent6" w:themeFillTint="66"/>
        <w:spacing w:after="240" w:line="240" w:lineRule="auto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PROPOSITION D’EVALUATION DU MODULE "EXPRESSION ECRITE ET ORALE" </w:t>
      </w:r>
    </w:p>
    <w:tbl>
      <w:tblPr>
        <w:tblStyle w:val="Grilledutableau"/>
        <w:tblpPr w:leftFromText="141" w:rightFromText="141" w:vertAnchor="text" w:horzAnchor="margin" w:tblpXSpec="center" w:tblpY="307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503"/>
        <w:gridCol w:w="1133"/>
        <w:gridCol w:w="1135"/>
        <w:gridCol w:w="1133"/>
        <w:gridCol w:w="1135"/>
      </w:tblGrid>
      <w:tr w:rsidR="00AA0B68" w:rsidTr="00E446D1">
        <w:trPr>
          <w:trHeight w:val="510"/>
          <w:jc w:val="center"/>
        </w:trPr>
        <w:tc>
          <w:tcPr>
            <w:tcW w:w="4503" w:type="dxa"/>
            <w:shd w:val="clear" w:color="auto" w:fill="EAF1DD" w:themeFill="accent3" w:themeFillTint="33"/>
            <w:vAlign w:val="center"/>
          </w:tcPr>
          <w:p w:rsidR="00AA0B68" w:rsidRDefault="00DD4C1F" w:rsidP="00E446D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Theme="majorHAnsi" w:eastAsia="Calibri" w:hAnsiTheme="majorHAnsi"/>
                <w:b/>
              </w:rPr>
              <w:t>À</w:t>
            </w:r>
            <w:r w:rsidR="006E5A1C">
              <w:rPr>
                <w:rFonts w:asciiTheme="majorHAnsi" w:eastAsia="Calibri" w:hAnsiTheme="majorHAnsi"/>
                <w:b/>
              </w:rPr>
              <w:t xml:space="preserve"> l’issue du module, le (futur) étudiant</w:t>
            </w:r>
            <w:r w:rsidR="00AA0B68">
              <w:rPr>
                <w:rFonts w:asciiTheme="majorHAnsi" w:eastAsia="Calibri" w:hAnsiTheme="majorHAnsi"/>
                <w:b/>
              </w:rPr>
              <w:t xml:space="preserve"> est apte à</w:t>
            </w:r>
          </w:p>
        </w:tc>
        <w:tc>
          <w:tcPr>
            <w:tcW w:w="1133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Novice</w:t>
            </w:r>
          </w:p>
        </w:tc>
        <w:tc>
          <w:tcPr>
            <w:tcW w:w="1135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Apprenti</w:t>
            </w:r>
          </w:p>
        </w:tc>
        <w:tc>
          <w:tcPr>
            <w:tcW w:w="1133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Confirmé</w:t>
            </w:r>
          </w:p>
        </w:tc>
        <w:tc>
          <w:tcPr>
            <w:tcW w:w="1135" w:type="dxa"/>
            <w:shd w:val="clear" w:color="auto" w:fill="EAF1DD" w:themeFill="accent3" w:themeFillTint="33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Expert</w:t>
            </w: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  <w:t>Rédiger d’une manière structurée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  <w:t>Utiliser le vocabulaire adapté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  <w:t>Maîtriser les automatismes de la langue dans des situations variées de la vie professionnelle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AA0B6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  <w:t>Rédiger sans erreur de grammaire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AA0B6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  <w:t>Rédiger sans erreur de conjugaison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  <w:tr w:rsidR="00AA0B68" w:rsidTr="00E446D1">
        <w:trPr>
          <w:trHeight w:val="737"/>
          <w:jc w:val="center"/>
        </w:trPr>
        <w:tc>
          <w:tcPr>
            <w:tcW w:w="4503" w:type="dxa"/>
            <w:vAlign w:val="center"/>
          </w:tcPr>
          <w:p w:rsidR="00AA0B68" w:rsidRDefault="00AA0B68" w:rsidP="00E446D1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fr-FR"/>
              </w:rPr>
              <w:t>Construire un échange oral</w:t>
            </w: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A0B68" w:rsidRDefault="00AA0B68" w:rsidP="00E446D1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</w:tr>
    </w:tbl>
    <w:p w:rsidR="00AA0B68" w:rsidRDefault="00AA0B68" w:rsidP="00AA0B68">
      <w:pPr>
        <w:spacing w:after="240" w:line="240" w:lineRule="auto"/>
        <w:rPr>
          <w:rFonts w:asciiTheme="majorHAnsi" w:hAnsiTheme="majorHAnsi"/>
        </w:rPr>
      </w:pPr>
    </w:p>
    <w:sectPr w:rsidR="00AA0B68"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527" w:rsidRDefault="00573527">
      <w:pPr>
        <w:spacing w:after="0" w:line="240" w:lineRule="auto"/>
      </w:pPr>
      <w:r>
        <w:separator/>
      </w:r>
    </w:p>
  </w:endnote>
  <w:endnote w:type="continuationSeparator" w:id="0">
    <w:p w:rsidR="00573527" w:rsidRDefault="00573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02FF" w:usb1="4000001F" w:usb2="08000029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959805"/>
      <w:docPartObj>
        <w:docPartGallery w:val="Page Numbers (Bottom of Page)"/>
        <w:docPartUnique/>
      </w:docPartObj>
    </w:sdtPr>
    <w:sdtEndPr/>
    <w:sdtContent>
      <w:p w:rsidR="00A460B0" w:rsidRDefault="00492691">
        <w:pPr>
          <w:pStyle w:val="Pieddepag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33D13">
          <w:rPr>
            <w:noProof/>
          </w:rPr>
          <w:t>1</w:t>
        </w:r>
        <w:r>
          <w:fldChar w:fldCharType="end"/>
        </w:r>
      </w:p>
    </w:sdtContent>
  </w:sdt>
  <w:p w:rsidR="00A460B0" w:rsidRDefault="00A460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663998"/>
      <w:docPartObj>
        <w:docPartGallery w:val="Page Numbers (Bottom of Page)"/>
        <w:docPartUnique/>
      </w:docPartObj>
    </w:sdtPr>
    <w:sdtEndPr/>
    <w:sdtContent>
      <w:p w:rsidR="00A460B0" w:rsidRDefault="00492691">
        <w:pPr>
          <w:pStyle w:val="Pieddepag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460B0" w:rsidRDefault="00A460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527" w:rsidRDefault="00573527">
      <w:pPr>
        <w:spacing w:after="0" w:line="240" w:lineRule="auto"/>
      </w:pPr>
      <w:r>
        <w:separator/>
      </w:r>
    </w:p>
  </w:footnote>
  <w:footnote w:type="continuationSeparator" w:id="0">
    <w:p w:rsidR="00573527" w:rsidRDefault="00573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0FA3"/>
    <w:multiLevelType w:val="multilevel"/>
    <w:tmpl w:val="29DEA2F8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135A87"/>
    <w:multiLevelType w:val="multilevel"/>
    <w:tmpl w:val="7F267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C821032"/>
    <w:multiLevelType w:val="multilevel"/>
    <w:tmpl w:val="2382A0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B822D1"/>
    <w:multiLevelType w:val="multilevel"/>
    <w:tmpl w:val="B958D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mbria" w:eastAsiaTheme="minorHAnsi" w:hAnsi="Cambria" w:cstheme="minorBid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34BF3407"/>
    <w:multiLevelType w:val="multilevel"/>
    <w:tmpl w:val="569C29E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E90284"/>
    <w:multiLevelType w:val="multilevel"/>
    <w:tmpl w:val="4F32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6A272291"/>
    <w:multiLevelType w:val="multilevel"/>
    <w:tmpl w:val="85626A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0B0"/>
    <w:rsid w:val="00492691"/>
    <w:rsid w:val="00573527"/>
    <w:rsid w:val="00574C80"/>
    <w:rsid w:val="006E5A1C"/>
    <w:rsid w:val="007C3C6A"/>
    <w:rsid w:val="00840D20"/>
    <w:rsid w:val="00A460B0"/>
    <w:rsid w:val="00AA0B68"/>
    <w:rsid w:val="00C33D13"/>
    <w:rsid w:val="00DD4C1F"/>
    <w:rsid w:val="00FC5867"/>
    <w:rsid w:val="00FD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12E3"/>
  <w15:docId w15:val="{13B77B71-B9B1-473E-960C-1D2AE348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98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B75AEC"/>
  </w:style>
  <w:style w:type="character" w:customStyle="1" w:styleId="PieddepageCar">
    <w:name w:val="Pied de page Car"/>
    <w:basedOn w:val="Policepardfaut"/>
    <w:link w:val="Pieddepage"/>
    <w:uiPriority w:val="99"/>
    <w:qFormat/>
    <w:rsid w:val="00B75AEC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Paragraphedeliste">
    <w:name w:val="List Paragraph"/>
    <w:basedOn w:val="Normal"/>
    <w:uiPriority w:val="34"/>
    <w:qFormat/>
    <w:rsid w:val="0008258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75AE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75AEC"/>
    <w:pPr>
      <w:tabs>
        <w:tab w:val="center" w:pos="4536"/>
        <w:tab w:val="right" w:pos="9072"/>
      </w:tabs>
      <w:spacing w:after="0" w:line="240" w:lineRule="auto"/>
    </w:p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613E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rameclaire-Accent1">
    <w:name w:val="Light Shading Accent 1"/>
    <w:basedOn w:val="TableauNormal"/>
    <w:uiPriority w:val="60"/>
    <w:rsid w:val="00613E6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-Accent1">
    <w:name w:val="Light List Accent 1"/>
    <w:basedOn w:val="TableauNormal"/>
    <w:uiPriority w:val="61"/>
    <w:rsid w:val="00613E6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613E6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9529-61DA-46DB-85B7-C55CC443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850</Words>
  <Characters>4676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Jacques Coeur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general.general</dc:creator>
  <dc:description/>
  <cp:lastModifiedBy>Sandrine COZETTE</cp:lastModifiedBy>
  <cp:revision>5</cp:revision>
  <cp:lastPrinted>2022-01-18T09:13:00Z</cp:lastPrinted>
  <dcterms:created xsi:type="dcterms:W3CDTF">2024-12-13T13:44:00Z</dcterms:created>
  <dcterms:modified xsi:type="dcterms:W3CDTF">2024-12-13T16:07:00Z</dcterms:modified>
  <dc:language>fr-FR</dc:language>
</cp:coreProperties>
</file>