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7A5" w:rsidRDefault="005D27A5">
      <w:pPr>
        <w:pStyle w:val="Sansinterligne"/>
        <w:jc w:val="center"/>
      </w:pPr>
    </w:p>
    <w:p w:rsidR="005D27A5" w:rsidRDefault="006154BB">
      <w:pPr>
        <w:pStyle w:val="Sansinterligne"/>
        <w:jc w:val="center"/>
      </w:pPr>
      <w:r>
        <w:t>JOURNÉE ACADÉMIQUE AVEC LA FONDATION DU DOUTE à Blois</w:t>
      </w:r>
    </w:p>
    <w:p w:rsidR="005D27A5" w:rsidRDefault="005D27A5">
      <w:pPr>
        <w:pStyle w:val="Sansinterligne"/>
      </w:pPr>
    </w:p>
    <w:p w:rsidR="005D27A5" w:rsidRDefault="006154BB">
      <w:pPr>
        <w:pStyle w:val="Standard"/>
        <w:spacing w:after="0" w:line="240" w:lineRule="auto"/>
        <w:jc w:val="center"/>
      </w:pPr>
      <w:r>
        <w:rPr>
          <w:rFonts w:cs="Calibri"/>
          <w:b/>
          <w:color w:val="000000"/>
          <w:sz w:val="24"/>
          <w:szCs w:val="24"/>
        </w:rPr>
        <w:t>MERCREDI 6 NOVEMBRE 2024</w:t>
      </w:r>
    </w:p>
    <w:p w:rsidR="005D27A5" w:rsidRDefault="005D27A5">
      <w:pPr>
        <w:pStyle w:val="Standard"/>
        <w:spacing w:after="0" w:line="240" w:lineRule="auto"/>
        <w:rPr>
          <w:rFonts w:cs="Calibri"/>
          <w:b/>
          <w:sz w:val="24"/>
          <w:szCs w:val="24"/>
        </w:rPr>
      </w:pPr>
    </w:p>
    <w:p w:rsidR="005D27A5" w:rsidRDefault="006154BB">
      <w:pPr>
        <w:pStyle w:val="Standard"/>
        <w:pBdr>
          <w:top w:val="single" w:sz="12" w:space="1" w:color="000000"/>
          <w:left w:val="single" w:sz="12" w:space="4" w:color="000000"/>
          <w:bottom w:val="single" w:sz="12" w:space="1" w:color="000000"/>
          <w:right w:val="single" w:sz="12" w:space="4" w:color="000000"/>
        </w:pBdr>
        <w:spacing w:after="0" w:line="240" w:lineRule="auto"/>
        <w:jc w:val="center"/>
      </w:pPr>
      <w:r>
        <w:rPr>
          <w:rFonts w:cs="Calibri"/>
        </w:rPr>
        <w:t>Découvrir une structure culturelle et travailler en lien et avec l’art d’aujourd’hui</w:t>
      </w:r>
    </w:p>
    <w:p w:rsidR="005D27A5" w:rsidRDefault="005D27A5">
      <w:pPr>
        <w:pStyle w:val="Standard"/>
        <w:spacing w:after="0" w:line="240" w:lineRule="auto"/>
        <w:rPr>
          <w:rFonts w:cs="Calibri"/>
          <w:sz w:val="18"/>
          <w:szCs w:val="18"/>
        </w:rPr>
      </w:pPr>
    </w:p>
    <w:p w:rsidR="005D27A5" w:rsidRDefault="006154BB">
      <w:pPr>
        <w:pStyle w:val="Standard"/>
        <w:spacing w:after="0" w:line="240" w:lineRule="auto"/>
      </w:pPr>
      <w:r>
        <w:rPr>
          <w:rFonts w:cs="Calibri"/>
        </w:rPr>
        <w:t xml:space="preserve">INSCRIPTION AUPRÈS DE LA DAAC AVANT LE </w:t>
      </w:r>
      <w:r w:rsidRPr="00FE5AB7">
        <w:rPr>
          <w:rFonts w:cs="Calibri"/>
        </w:rPr>
        <w:t xml:space="preserve">18 </w:t>
      </w:r>
      <w:r w:rsidR="00FE5AB7" w:rsidRPr="00FE5AB7">
        <w:rPr>
          <w:rFonts w:cs="Calibri"/>
        </w:rPr>
        <w:t>OCTOBRE</w:t>
      </w:r>
      <w:r>
        <w:rPr>
          <w:rFonts w:cs="Calibri"/>
          <w:color w:val="FF0000"/>
        </w:rPr>
        <w:t xml:space="preserve"> </w:t>
      </w:r>
      <w:r>
        <w:rPr>
          <w:rFonts w:cs="Calibri"/>
        </w:rPr>
        <w:t>2024.</w:t>
      </w:r>
    </w:p>
    <w:p w:rsidR="005D27A5" w:rsidRDefault="006154BB">
      <w:pPr>
        <w:pStyle w:val="Standard"/>
        <w:spacing w:after="0" w:line="240" w:lineRule="auto"/>
      </w:pPr>
      <w:r>
        <w:rPr>
          <w:rFonts w:cs="Calibri"/>
          <w:color w:val="000000"/>
        </w:rPr>
        <w:t>40 places sont disponibles ; l’inscription est effectuée pour la journée entière.</w:t>
      </w:r>
    </w:p>
    <w:p w:rsidR="005D27A5" w:rsidRDefault="005D27A5">
      <w:pPr>
        <w:pStyle w:val="Standard"/>
        <w:spacing w:after="0" w:line="240" w:lineRule="auto"/>
        <w:rPr>
          <w:sz w:val="18"/>
          <w:szCs w:val="18"/>
        </w:rPr>
      </w:pPr>
    </w:p>
    <w:p w:rsidR="005D27A5" w:rsidRDefault="006154BB">
      <w:pPr>
        <w:pStyle w:val="Standard"/>
        <w:pBdr>
          <w:bottom w:val="single" w:sz="8" w:space="1" w:color="000000"/>
        </w:pBdr>
        <w:spacing w:after="0" w:line="240" w:lineRule="auto"/>
      </w:pPr>
      <w:r>
        <w:t>LIEU DE LA FORMATION</w:t>
      </w:r>
    </w:p>
    <w:p w:rsidR="005D27A5" w:rsidRDefault="006154BB">
      <w:pPr>
        <w:pStyle w:val="Standard"/>
        <w:spacing w:after="0" w:line="240" w:lineRule="auto"/>
      </w:pPr>
      <w:r>
        <w:rPr>
          <w:rFonts w:cs="Calibri"/>
          <w:color w:val="000000"/>
          <w:sz w:val="21"/>
          <w:szCs w:val="21"/>
        </w:rPr>
        <w:t>Fondation du Doute – 14 rue de la Paix 41 000 Blois</w:t>
      </w:r>
    </w:p>
    <w:p w:rsidR="005D27A5" w:rsidRDefault="006154BB">
      <w:pPr>
        <w:pStyle w:val="Standard"/>
        <w:spacing w:after="0" w:line="240" w:lineRule="auto"/>
      </w:pPr>
      <w:r>
        <w:rPr>
          <w:rFonts w:cs="Calibri"/>
          <w:sz w:val="21"/>
          <w:szCs w:val="21"/>
        </w:rPr>
        <w:t>À 10 minutes à pied de la gare de Blois / Bus</w:t>
      </w:r>
    </w:p>
    <w:p w:rsidR="005D27A5" w:rsidRDefault="005D27A5">
      <w:pPr>
        <w:pStyle w:val="Standard"/>
        <w:spacing w:after="0" w:line="240" w:lineRule="auto"/>
        <w:rPr>
          <w:sz w:val="18"/>
          <w:szCs w:val="18"/>
        </w:rPr>
      </w:pPr>
    </w:p>
    <w:p w:rsidR="005D27A5" w:rsidRDefault="006154BB">
      <w:pPr>
        <w:pStyle w:val="Standard"/>
        <w:pBdr>
          <w:bottom w:val="single" w:sz="8" w:space="1" w:color="000000"/>
        </w:pBdr>
        <w:spacing w:after="0" w:line="240" w:lineRule="auto"/>
      </w:pPr>
      <w:r>
        <w:rPr>
          <w:color w:val="000000"/>
        </w:rPr>
        <w:t>DÉROULÉ</w:t>
      </w:r>
    </w:p>
    <w:p w:rsidR="005D27A5" w:rsidRDefault="006154BB">
      <w:pPr>
        <w:pStyle w:val="Standard"/>
        <w:spacing w:after="0" w:line="240" w:lineRule="auto"/>
      </w:pPr>
      <w:r>
        <w:rPr>
          <w:color w:val="000000"/>
          <w:sz w:val="21"/>
          <w:szCs w:val="21"/>
        </w:rPr>
        <w:t>09h45</w:t>
      </w:r>
      <w:r>
        <w:rPr>
          <w:color w:val="000000"/>
          <w:sz w:val="21"/>
          <w:szCs w:val="21"/>
        </w:rPr>
        <w:tab/>
      </w:r>
      <w:r>
        <w:rPr>
          <w:color w:val="000000"/>
          <w:sz w:val="21"/>
          <w:szCs w:val="21"/>
        </w:rPr>
        <w:tab/>
        <w:t>Accueil café</w:t>
      </w:r>
    </w:p>
    <w:p w:rsidR="005D27A5" w:rsidRDefault="006154BB">
      <w:pPr>
        <w:pStyle w:val="Standard"/>
        <w:spacing w:after="0" w:line="240" w:lineRule="auto"/>
      </w:pPr>
      <w:r>
        <w:rPr>
          <w:color w:val="000000"/>
          <w:sz w:val="21"/>
          <w:szCs w:val="21"/>
        </w:rPr>
        <w:t>10h-11h</w:t>
      </w:r>
      <w:r>
        <w:rPr>
          <w:color w:val="000000"/>
          <w:sz w:val="21"/>
          <w:szCs w:val="21"/>
        </w:rPr>
        <w:tab/>
      </w:r>
      <w:r>
        <w:rPr>
          <w:color w:val="000000"/>
          <w:sz w:val="21"/>
          <w:szCs w:val="21"/>
        </w:rPr>
        <w:tab/>
        <w:t>Présentation de la Fondation du doute (projet et programme artistiques, offre pédagogique)</w:t>
      </w:r>
    </w:p>
    <w:p w:rsidR="005D27A5" w:rsidRDefault="006154BB">
      <w:pPr>
        <w:pStyle w:val="Standard"/>
        <w:spacing w:after="0" w:line="240" w:lineRule="auto"/>
      </w:pPr>
      <w:r>
        <w:rPr>
          <w:color w:val="000000"/>
          <w:sz w:val="21"/>
          <w:szCs w:val="21"/>
        </w:rPr>
        <w:t>11h-12h30</w:t>
      </w:r>
      <w:r>
        <w:rPr>
          <w:color w:val="000000"/>
          <w:sz w:val="21"/>
          <w:szCs w:val="21"/>
        </w:rPr>
        <w:tab/>
        <w:t>Visite commentée de l’exposition permanente</w:t>
      </w:r>
    </w:p>
    <w:p w:rsidR="005D27A5" w:rsidRDefault="006154BB">
      <w:pPr>
        <w:pStyle w:val="Standard"/>
        <w:spacing w:after="0" w:line="240" w:lineRule="auto"/>
      </w:pPr>
      <w:r>
        <w:rPr>
          <w:color w:val="000000"/>
          <w:sz w:val="21"/>
          <w:szCs w:val="21"/>
        </w:rPr>
        <w:t xml:space="preserve">12h30-14h </w:t>
      </w:r>
      <w:r>
        <w:rPr>
          <w:color w:val="000000"/>
          <w:sz w:val="21"/>
          <w:szCs w:val="21"/>
        </w:rPr>
        <w:tab/>
        <w:t>Pause déjeuner</w:t>
      </w:r>
    </w:p>
    <w:p w:rsidR="005D27A5" w:rsidRDefault="006154BB">
      <w:pPr>
        <w:pStyle w:val="Standard"/>
        <w:spacing w:after="0" w:line="240" w:lineRule="auto"/>
      </w:pPr>
      <w:r>
        <w:rPr>
          <w:color w:val="000000"/>
          <w:sz w:val="21"/>
          <w:szCs w:val="21"/>
        </w:rPr>
        <w:t>14h-15h</w:t>
      </w:r>
      <w:r>
        <w:rPr>
          <w:color w:val="000000"/>
          <w:sz w:val="21"/>
          <w:szCs w:val="21"/>
        </w:rPr>
        <w:tab/>
      </w:r>
      <w:r>
        <w:rPr>
          <w:color w:val="000000"/>
          <w:sz w:val="21"/>
          <w:szCs w:val="21"/>
        </w:rPr>
        <w:tab/>
        <w:t>Visite de l’exposition temporaire « Critique de la ville quotidienne »</w:t>
      </w:r>
    </w:p>
    <w:p w:rsidR="005D27A5" w:rsidRPr="00826AA2" w:rsidRDefault="006154BB">
      <w:pPr>
        <w:pStyle w:val="Standard"/>
        <w:spacing w:after="0" w:line="240" w:lineRule="auto"/>
        <w:jc w:val="both"/>
      </w:pPr>
      <w:r>
        <w:rPr>
          <w:color w:val="000000"/>
          <w:sz w:val="21"/>
          <w:szCs w:val="21"/>
        </w:rPr>
        <w:t>15h</w:t>
      </w:r>
      <w:r w:rsidRPr="00826AA2">
        <w:rPr>
          <w:sz w:val="21"/>
          <w:szCs w:val="21"/>
        </w:rPr>
        <w:t>-16h</w:t>
      </w:r>
      <w:r w:rsidRPr="00826AA2">
        <w:rPr>
          <w:sz w:val="21"/>
          <w:szCs w:val="21"/>
        </w:rPr>
        <w:tab/>
      </w:r>
      <w:r w:rsidRPr="00826AA2">
        <w:rPr>
          <w:sz w:val="21"/>
          <w:szCs w:val="21"/>
        </w:rPr>
        <w:tab/>
        <w:t>Rencontre avec Anne Houel (vit et travaille dans le Cher), artiste invitée dans l’exposition</w:t>
      </w:r>
      <w:r w:rsidRPr="00826AA2">
        <w:rPr>
          <w:sz w:val="21"/>
          <w:szCs w:val="21"/>
        </w:rPr>
        <w:br/>
      </w:r>
      <w:r w:rsidRPr="00826AA2">
        <w:rPr>
          <w:sz w:val="21"/>
          <w:szCs w:val="21"/>
        </w:rPr>
        <w:tab/>
      </w:r>
      <w:r w:rsidRPr="00826AA2">
        <w:rPr>
          <w:sz w:val="21"/>
          <w:szCs w:val="21"/>
        </w:rPr>
        <w:tab/>
        <w:t>« Critique de la ville quotidienne »</w:t>
      </w:r>
    </w:p>
    <w:p w:rsidR="005D27A5" w:rsidRPr="00826AA2" w:rsidRDefault="005D27A5">
      <w:pPr>
        <w:pStyle w:val="Standard"/>
        <w:spacing w:after="0" w:line="240" w:lineRule="auto"/>
        <w:jc w:val="both"/>
        <w:rPr>
          <w:sz w:val="21"/>
          <w:szCs w:val="21"/>
        </w:rPr>
      </w:pPr>
    </w:p>
    <w:p w:rsidR="005D27A5" w:rsidRDefault="006154BB">
      <w:pPr>
        <w:pStyle w:val="Standard"/>
        <w:pBdr>
          <w:bottom w:val="single" w:sz="8" w:space="1" w:color="000000"/>
        </w:pBdr>
        <w:spacing w:after="0" w:line="240" w:lineRule="auto"/>
      </w:pPr>
      <w:r w:rsidRPr="00826AA2">
        <w:t>LA</w:t>
      </w:r>
      <w:r>
        <w:rPr>
          <w:color w:val="000000"/>
        </w:rPr>
        <w:t xml:space="preserve"> JOURNÉE ACADÉMIQUE</w:t>
      </w:r>
    </w:p>
    <w:p w:rsidR="005D27A5" w:rsidRDefault="006154BB">
      <w:pPr>
        <w:pStyle w:val="Standard"/>
        <w:spacing w:after="0" w:line="240" w:lineRule="auto"/>
        <w:jc w:val="both"/>
      </w:pPr>
      <w:r>
        <w:rPr>
          <w:color w:val="000000"/>
          <w:sz w:val="21"/>
          <w:szCs w:val="21"/>
        </w:rPr>
        <w:t>Journée de formation destinée aux enseignants des 1</w:t>
      </w:r>
      <w:r>
        <w:rPr>
          <w:color w:val="000000"/>
          <w:sz w:val="21"/>
          <w:szCs w:val="21"/>
          <w:vertAlign w:val="superscript"/>
        </w:rPr>
        <w:t>er</w:t>
      </w:r>
      <w:r>
        <w:rPr>
          <w:color w:val="000000"/>
          <w:sz w:val="21"/>
          <w:szCs w:val="21"/>
        </w:rPr>
        <w:t xml:space="preserve"> et 2</w:t>
      </w:r>
      <w:r>
        <w:rPr>
          <w:color w:val="000000"/>
          <w:sz w:val="21"/>
          <w:szCs w:val="21"/>
          <w:vertAlign w:val="superscript"/>
        </w:rPr>
        <w:t>nd</w:t>
      </w:r>
      <w:r>
        <w:rPr>
          <w:color w:val="000000"/>
          <w:sz w:val="21"/>
          <w:szCs w:val="21"/>
        </w:rPr>
        <w:t xml:space="preserve"> degrés, d’arts appliqués et plastiques, d’histoire-géographie, de français ou de lettres, de philosophie.</w:t>
      </w:r>
    </w:p>
    <w:p w:rsidR="005D27A5" w:rsidRDefault="006154BB">
      <w:pPr>
        <w:pStyle w:val="Standard"/>
        <w:spacing w:after="0" w:line="240" w:lineRule="auto"/>
        <w:jc w:val="both"/>
      </w:pPr>
      <w:r>
        <w:rPr>
          <w:color w:val="000000"/>
          <w:sz w:val="21"/>
          <w:szCs w:val="21"/>
        </w:rPr>
        <w:t>La matinée permet de découvrir la Fondation du doute, son projet artistique ainsi que son offre culturelle et pédagogique. L’après-midi permet de découvrir l’exposition temporaire et de rencontrer une des artistes de l’exposition afin de découvrir plus avant son travail.</w:t>
      </w:r>
    </w:p>
    <w:p w:rsidR="005D27A5" w:rsidRDefault="006154BB">
      <w:pPr>
        <w:pStyle w:val="Standard"/>
        <w:spacing w:after="0" w:line="240" w:lineRule="auto"/>
        <w:jc w:val="both"/>
      </w:pPr>
      <w:r>
        <w:rPr>
          <w:color w:val="000000"/>
          <w:sz w:val="21"/>
          <w:szCs w:val="21"/>
          <w:u w:val="single"/>
        </w:rPr>
        <w:t>Objectifs</w:t>
      </w:r>
      <w:r>
        <w:rPr>
          <w:color w:val="000000"/>
          <w:sz w:val="21"/>
          <w:szCs w:val="21"/>
        </w:rPr>
        <w:t> : découverte et enrichissement des connaissances autour de l’art contemporain et de Fluxus, mouvement international majeur du 20</w:t>
      </w:r>
      <w:r>
        <w:rPr>
          <w:color w:val="000000"/>
          <w:sz w:val="21"/>
          <w:szCs w:val="21"/>
          <w:vertAlign w:val="superscript"/>
        </w:rPr>
        <w:t>e</w:t>
      </w:r>
      <w:r>
        <w:rPr>
          <w:color w:val="000000"/>
          <w:sz w:val="21"/>
          <w:szCs w:val="21"/>
        </w:rPr>
        <w:t xml:space="preserve"> siècle ; découverte des liens entre l’art et le quotidien ; réflexions sur la manière de mobiliser la création d’aujourd’hui pour éclairer sous d’autres jours le passé, le présent et l’avenir.</w:t>
      </w:r>
    </w:p>
    <w:p w:rsidR="005D27A5" w:rsidRDefault="005D27A5">
      <w:pPr>
        <w:pStyle w:val="Standard"/>
        <w:spacing w:after="0" w:line="240" w:lineRule="auto"/>
        <w:rPr>
          <w:color w:val="000000"/>
          <w:sz w:val="21"/>
          <w:szCs w:val="21"/>
        </w:rPr>
      </w:pPr>
    </w:p>
    <w:p w:rsidR="005D27A5" w:rsidRDefault="006154BB">
      <w:pPr>
        <w:pStyle w:val="Standard"/>
        <w:pBdr>
          <w:bottom w:val="single" w:sz="8" w:space="1" w:color="000000"/>
        </w:pBdr>
        <w:spacing w:after="0" w:line="240" w:lineRule="auto"/>
      </w:pPr>
      <w:r>
        <w:rPr>
          <w:b/>
          <w:bCs/>
          <w:color w:val="000000"/>
        </w:rPr>
        <w:t>EXPOSITIONS EN COURS</w:t>
      </w:r>
    </w:p>
    <w:p w:rsidR="005D27A5" w:rsidRDefault="006154BB">
      <w:pPr>
        <w:pStyle w:val="Standard"/>
        <w:pBdr>
          <w:bottom w:val="single" w:sz="4" w:space="1" w:color="000000"/>
        </w:pBdr>
        <w:spacing w:after="0" w:line="240" w:lineRule="auto"/>
      </w:pPr>
      <w:r>
        <w:rPr>
          <w:color w:val="000000"/>
          <w:sz w:val="20"/>
        </w:rPr>
        <w:t>Collection permanente</w:t>
      </w:r>
    </w:p>
    <w:p w:rsidR="005D27A5" w:rsidRDefault="006154BB">
      <w:pPr>
        <w:pStyle w:val="texte"/>
        <w:pBdr>
          <w:bottom w:val="single" w:sz="8" w:space="1" w:color="000000"/>
        </w:pBdr>
        <w:spacing w:line="240" w:lineRule="auto"/>
        <w:jc w:val="both"/>
      </w:pPr>
      <w:r>
        <w:rPr>
          <w:rFonts w:ascii="Calibri" w:hAnsi="Calibri"/>
          <w:spacing w:val="-2"/>
          <w:sz w:val="21"/>
          <w:szCs w:val="21"/>
        </w:rPr>
        <w:t>Renouvelé en 2022, le parcours permanent est le seul en France consacré à Fluxus et l’un des plus importants d’Europe. Il déploie sur près de 1 000 m² un ensemble de 350 œuvres et documents de 50 artistes (Joseph Beuys, Robert Filliou, George Maciunas, Yoko Ono, Nam June Paik, Daniel Spoerri, Ben Vautier, Wolf Vostell…) issus des collections personnelles de Ben Vautier, Gino Di Maggio avec la collaboration de la Fondation Mudima, ainsi que Caterina Gualco.</w:t>
      </w:r>
    </w:p>
    <w:p w:rsidR="005D27A5" w:rsidRDefault="006154BB">
      <w:pPr>
        <w:pStyle w:val="texte"/>
        <w:pBdr>
          <w:bottom w:val="single" w:sz="8" w:space="1" w:color="000000"/>
        </w:pBdr>
        <w:spacing w:line="240" w:lineRule="auto"/>
        <w:jc w:val="both"/>
      </w:pPr>
      <w:r>
        <w:rPr>
          <w:rFonts w:ascii="Calibri" w:hAnsi="Calibri"/>
          <w:spacing w:val="-2"/>
          <w:sz w:val="21"/>
          <w:szCs w:val="21"/>
        </w:rPr>
        <w:t xml:space="preserve">Initié au début des années 1960 aux États-Unis puis en Europe par George Maciunas, Fluxus réunit un ensemble d’artistes internationaux autour d’une pratique à la fois iconoclaste et ludique de « non-art » : dans le sillage d’avant-gardes comme le futurisme et Dada, mais aussi de figures comme Marcel Duchamp ou John Cage, ils rejettent les institutions, l’art mort ou encore la notion-même d’œuvre d’art, et entendent révolutionner voire « purger le monde de la culture “intellectuelle”, professionnelle et commercialisée » (G. Maciunas, </w:t>
      </w:r>
      <w:r>
        <w:rPr>
          <w:rFonts w:ascii="Calibri" w:hAnsi="Calibri"/>
          <w:i/>
          <w:spacing w:val="-2"/>
          <w:sz w:val="21"/>
          <w:szCs w:val="21"/>
        </w:rPr>
        <w:t>Manifesto</w:t>
      </w:r>
      <w:r>
        <w:rPr>
          <w:rFonts w:ascii="Calibri" w:hAnsi="Calibri"/>
          <w:spacing w:val="-2"/>
          <w:sz w:val="21"/>
          <w:szCs w:val="21"/>
        </w:rPr>
        <w:t>, 1963). Durant près de vingt ans, ces artistes travailleront, souvent avec un certain sens de l’humour et de la provocation, à abolir toute frontière entre l’art et la vie.</w:t>
      </w:r>
    </w:p>
    <w:p w:rsidR="005D27A5" w:rsidRPr="00826AA2" w:rsidRDefault="00826AA2">
      <w:pPr>
        <w:pStyle w:val="texte"/>
        <w:pBdr>
          <w:bottom w:val="single" w:sz="8" w:space="1" w:color="000000"/>
        </w:pBdr>
        <w:spacing w:line="240" w:lineRule="auto"/>
        <w:jc w:val="both"/>
        <w:rPr>
          <w:color w:val="auto"/>
          <w:spacing w:val="-2"/>
          <w:sz w:val="20"/>
        </w:rPr>
      </w:pPr>
      <w:r>
        <w:rPr>
          <w:color w:val="FF0000"/>
          <w:spacing w:val="-2"/>
          <w:sz w:val="20"/>
        </w:rPr>
        <w:br w:type="page"/>
      </w:r>
      <w:bookmarkStart w:id="0" w:name="_GoBack"/>
    </w:p>
    <w:p w:rsidR="005D27A5" w:rsidRPr="00826AA2" w:rsidRDefault="006154BB">
      <w:pPr>
        <w:pStyle w:val="Standard"/>
        <w:pBdr>
          <w:bottom w:val="single" w:sz="4" w:space="1" w:color="000000"/>
        </w:pBdr>
        <w:spacing w:after="0" w:line="240" w:lineRule="auto"/>
      </w:pPr>
      <w:r w:rsidRPr="00826AA2">
        <w:rPr>
          <w:sz w:val="20"/>
        </w:rPr>
        <w:t>Critique de la ville quotidienne – du 5 octobre au 15 décembre 2024</w:t>
      </w:r>
    </w:p>
    <w:p w:rsidR="005D27A5" w:rsidRPr="00826AA2" w:rsidRDefault="005D27A5">
      <w:pPr>
        <w:pStyle w:val="Standard"/>
        <w:rPr>
          <w:sz w:val="21"/>
          <w:szCs w:val="21"/>
        </w:rPr>
      </w:pPr>
    </w:p>
    <w:p w:rsidR="005D27A5" w:rsidRPr="00826AA2" w:rsidRDefault="006154BB">
      <w:pPr>
        <w:pStyle w:val="texte"/>
        <w:spacing w:line="240" w:lineRule="auto"/>
        <w:jc w:val="both"/>
        <w:rPr>
          <w:color w:val="auto"/>
        </w:rPr>
      </w:pPr>
      <w:r w:rsidRPr="00826AA2">
        <w:rPr>
          <w:rFonts w:ascii="Calibri" w:hAnsi="Calibri"/>
          <w:color w:val="auto"/>
          <w:sz w:val="21"/>
          <w:szCs w:val="21"/>
        </w:rPr>
        <w:t xml:space="preserve">L’exposition réunit un ensemble d’œuvres des années 1950 à aujourd’hui ainsi que des documents et des archives donnant à voir des démarches et des pratiques artistiques qui s’insèrent </w:t>
      </w:r>
      <w:r w:rsidRPr="00826AA2">
        <w:rPr>
          <w:rFonts w:ascii="Calibri" w:hAnsi="Calibri"/>
          <w:i/>
          <w:color w:val="auto"/>
          <w:sz w:val="21"/>
          <w:szCs w:val="21"/>
        </w:rPr>
        <w:t>dans</w:t>
      </w:r>
      <w:r w:rsidRPr="00826AA2">
        <w:rPr>
          <w:rFonts w:ascii="Calibri" w:hAnsi="Calibri"/>
          <w:color w:val="auto"/>
          <w:sz w:val="21"/>
          <w:szCs w:val="21"/>
        </w:rPr>
        <w:t xml:space="preserve"> la ville, et plus particulièrement encore dans la rue, pour y ménager des interstices à la fois poétiques et politiques.</w:t>
      </w:r>
    </w:p>
    <w:p w:rsidR="005D27A5" w:rsidRPr="00826AA2" w:rsidRDefault="006154BB">
      <w:pPr>
        <w:pStyle w:val="texte"/>
        <w:spacing w:line="240" w:lineRule="auto"/>
        <w:jc w:val="both"/>
        <w:rPr>
          <w:color w:val="auto"/>
        </w:rPr>
      </w:pPr>
      <w:r w:rsidRPr="00826AA2">
        <w:rPr>
          <w:rFonts w:ascii="Calibri" w:hAnsi="Calibri"/>
          <w:color w:val="auto"/>
          <w:sz w:val="21"/>
          <w:szCs w:val="21"/>
        </w:rPr>
        <w:t>Chacun·e à leur manière, les artistes ici présenté·es tentent de changer la vie, l’art et la ville dans un même élan. Dans une forme de rencontre fertile entre créations et enjeux sociétaux, iels investissent voire se confrontent – physiquement souvent – à l’espace urbain dans une forme de chassé-croisé avec les pratiques et les codes esthétiques de la société civile et des cultures populaires, parfois jusqu’à mettre en question la distinction entre l’artiste et « l’homme / la femme de la rue », entre l’art et le quotidien.</w:t>
      </w:r>
    </w:p>
    <w:p w:rsidR="005D27A5" w:rsidRPr="00826AA2" w:rsidRDefault="006154BB">
      <w:pPr>
        <w:pStyle w:val="texte"/>
        <w:spacing w:line="240" w:lineRule="auto"/>
        <w:jc w:val="both"/>
        <w:rPr>
          <w:color w:val="auto"/>
        </w:rPr>
      </w:pPr>
      <w:r w:rsidRPr="00826AA2">
        <w:rPr>
          <w:rFonts w:ascii="Calibri" w:hAnsi="Calibri"/>
          <w:color w:val="auto"/>
          <w:sz w:val="21"/>
          <w:szCs w:val="21"/>
        </w:rPr>
        <w:t>Avec des œuvres et des documents de : Martine Aballéa, Act Up-Paris, Boris Achour , Francis Alÿs, Jean-Daniel Berclaz, Joseph Beuys, Cathryn Boch, Günter Brus, André Cadere, Chanéac, Alex Chevalier, Guy Debord, Jean Degottex, Henry Flynt, Guerrilla Girls, Angela Hareiter, Mona Hatoum, Haus-Rucker-Co, Thomas Hirschhorn, Jenny Holzer, Anne Houel, Douglas Huebler, Françoise Janicot et Bernard Heidsieck, Allan Kaprow, Ugo La Pietra, Letaris, Tim Maul, Eugenio Miccini, Jonathan Monk, Nicolas Moulin, Leonel Moura, Maurizio Nannucci, Nefeli Papadimouli, Matthieu Saladin, Charles Simonds, Jean Tinguely, Endre Tót, UFO, Jacques Villeglé, Stephen Willats, Raphaël Zarka […]</w:t>
      </w:r>
    </w:p>
    <w:p w:rsidR="005D27A5" w:rsidRPr="00826AA2" w:rsidRDefault="005D27A5">
      <w:pPr>
        <w:pStyle w:val="Standard"/>
        <w:rPr>
          <w:sz w:val="20"/>
        </w:rPr>
      </w:pPr>
    </w:p>
    <w:p w:rsidR="005D27A5" w:rsidRPr="00826AA2" w:rsidRDefault="005D27A5">
      <w:pPr>
        <w:pStyle w:val="Standard"/>
        <w:rPr>
          <w:rFonts w:eastAsia="Times New Roman" w:cs="Arial"/>
          <w:b/>
          <w:bCs/>
          <w:lang w:eastAsia="fr-FR"/>
        </w:rPr>
      </w:pPr>
    </w:p>
    <w:p w:rsidR="005D27A5" w:rsidRPr="00826AA2" w:rsidRDefault="005D27A5">
      <w:pPr>
        <w:pStyle w:val="Standard"/>
        <w:rPr>
          <w:rFonts w:ascii="Arial" w:hAnsi="Arial" w:cs="Arial"/>
          <w:sz w:val="24"/>
          <w:szCs w:val="24"/>
        </w:rPr>
      </w:pPr>
    </w:p>
    <w:bookmarkEnd w:id="0"/>
    <w:p w:rsidR="005D27A5" w:rsidRDefault="006154BB">
      <w:pPr>
        <w:pStyle w:val="Standard"/>
        <w:pageBreakBefore/>
        <w:spacing w:after="0" w:line="240" w:lineRule="auto"/>
        <w:jc w:val="center"/>
      </w:pPr>
      <w:r>
        <w:rPr>
          <w:rFonts w:cs="Calibri"/>
          <w:sz w:val="28"/>
        </w:rPr>
        <w:lastRenderedPageBreak/>
        <w:t>JOURNÉE ACADÉMIQUE 1</w:t>
      </w:r>
      <w:r>
        <w:rPr>
          <w:rFonts w:cs="Calibri"/>
          <w:sz w:val="28"/>
          <w:vertAlign w:val="superscript"/>
        </w:rPr>
        <w:t>er</w:t>
      </w:r>
      <w:r>
        <w:rPr>
          <w:rFonts w:cs="Calibri"/>
          <w:sz w:val="28"/>
        </w:rPr>
        <w:t xml:space="preserve"> et 2</w:t>
      </w:r>
      <w:r>
        <w:rPr>
          <w:rFonts w:cs="Calibri"/>
          <w:sz w:val="28"/>
          <w:vertAlign w:val="superscript"/>
        </w:rPr>
        <w:t>nd</w:t>
      </w:r>
      <w:r>
        <w:rPr>
          <w:rFonts w:cs="Calibri"/>
          <w:sz w:val="28"/>
        </w:rPr>
        <w:t xml:space="preserve"> </w:t>
      </w:r>
      <w:r>
        <w:rPr>
          <w:rFonts w:cs="Calibri"/>
          <w:caps/>
          <w:sz w:val="28"/>
        </w:rPr>
        <w:t>degrÉS</w:t>
      </w:r>
      <w:r>
        <w:rPr>
          <w:rFonts w:cs="Calibri"/>
          <w:sz w:val="28"/>
        </w:rPr>
        <w:t xml:space="preserve"> AVEC LA FONDATION DU DOUTE-BLOIS</w:t>
      </w:r>
    </w:p>
    <w:p w:rsidR="005D27A5" w:rsidRDefault="005D27A5">
      <w:pPr>
        <w:pStyle w:val="Standard"/>
        <w:spacing w:after="0" w:line="240" w:lineRule="auto"/>
        <w:jc w:val="center"/>
        <w:rPr>
          <w:rFonts w:ascii="Arial" w:hAnsi="Arial" w:cs="Arial"/>
          <w:b/>
          <w:color w:val="FF0000"/>
        </w:rPr>
      </w:pPr>
    </w:p>
    <w:p w:rsidR="005D27A5" w:rsidRDefault="006154BB">
      <w:pPr>
        <w:pStyle w:val="Standard"/>
        <w:spacing w:after="0" w:line="240" w:lineRule="auto"/>
        <w:jc w:val="center"/>
      </w:pPr>
      <w:r>
        <w:rPr>
          <w:rFonts w:cs="Calibri"/>
          <w:color w:val="000000"/>
          <w:sz w:val="24"/>
          <w:szCs w:val="24"/>
        </w:rPr>
        <w:t>MERCREDI 6 NOVEMBRE 2024</w:t>
      </w:r>
    </w:p>
    <w:p w:rsidR="005D27A5" w:rsidRDefault="005D27A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Calibri" w:eastAsia="Times New Roman" w:hAnsi="Calibri" w:cs="Arial"/>
          <w:b/>
          <w:bCs/>
          <w:sz w:val="22"/>
          <w:szCs w:val="22"/>
          <w:lang w:val="fr-FR"/>
        </w:rPr>
      </w:pPr>
    </w:p>
    <w:p w:rsidR="005D27A5" w:rsidRDefault="006154BB">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pPr>
      <w:r>
        <w:rPr>
          <w:rFonts w:ascii="Calibri" w:eastAsia="Times New Roman" w:hAnsi="Calibri" w:cs="Arial"/>
          <w:b/>
          <w:bCs/>
          <w:sz w:val="22"/>
          <w:szCs w:val="22"/>
          <w:lang w:val="fr-FR"/>
        </w:rPr>
        <w:t xml:space="preserve">Demande d’inscription à renseigner pour le </w:t>
      </w:r>
      <w:r w:rsidRPr="00FE5AB7">
        <w:rPr>
          <w:rFonts w:ascii="Calibri" w:eastAsia="Times New Roman" w:hAnsi="Calibri" w:cs="Arial"/>
          <w:b/>
          <w:bCs/>
          <w:sz w:val="22"/>
          <w:szCs w:val="22"/>
          <w:lang w:val="fr-FR"/>
        </w:rPr>
        <w:t>Vendredi 18 octobre</w:t>
      </w:r>
      <w:r>
        <w:rPr>
          <w:rFonts w:ascii="Calibri" w:eastAsia="Times New Roman" w:hAnsi="Calibri" w:cs="Arial"/>
          <w:b/>
          <w:bCs/>
          <w:color w:val="FF0000"/>
          <w:sz w:val="22"/>
          <w:szCs w:val="22"/>
          <w:lang w:val="fr-FR"/>
        </w:rPr>
        <w:t xml:space="preserve"> </w:t>
      </w:r>
      <w:r>
        <w:rPr>
          <w:rFonts w:ascii="Calibri" w:eastAsia="Times New Roman" w:hAnsi="Calibri" w:cs="Arial"/>
          <w:b/>
          <w:bCs/>
          <w:sz w:val="22"/>
          <w:szCs w:val="22"/>
          <w:lang w:val="fr-FR"/>
        </w:rPr>
        <w:t>au soir.</w:t>
      </w:r>
    </w:p>
    <w:p w:rsidR="005D27A5" w:rsidRDefault="006154BB">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pPr>
      <w:r>
        <w:rPr>
          <w:rFonts w:ascii="Calibri" w:eastAsia="Times New Roman" w:hAnsi="Calibri" w:cs="Arial"/>
          <w:sz w:val="22"/>
          <w:szCs w:val="22"/>
          <w:lang w:val="fr-FR"/>
        </w:rPr>
        <w:t xml:space="preserve">À renvoyer </w:t>
      </w:r>
      <w:r>
        <w:rPr>
          <w:rFonts w:ascii="Calibri" w:eastAsia="Times New Roman" w:hAnsi="Calibri" w:cs="Arial"/>
          <w:b/>
          <w:bCs/>
          <w:sz w:val="22"/>
          <w:szCs w:val="22"/>
          <w:u w:val="single"/>
          <w:lang w:val="fr-FR"/>
        </w:rPr>
        <w:t>exclusivement</w:t>
      </w:r>
      <w:r>
        <w:rPr>
          <w:rFonts w:ascii="Calibri" w:eastAsia="Times New Roman" w:hAnsi="Calibri" w:cs="Arial"/>
          <w:sz w:val="22"/>
          <w:szCs w:val="22"/>
          <w:u w:val="single"/>
          <w:lang w:val="fr-FR"/>
        </w:rPr>
        <w:t xml:space="preserve"> </w:t>
      </w:r>
      <w:r>
        <w:rPr>
          <w:rFonts w:ascii="Calibri" w:eastAsia="Times New Roman" w:hAnsi="Calibri" w:cs="Arial"/>
          <w:b/>
          <w:bCs/>
          <w:sz w:val="22"/>
          <w:szCs w:val="22"/>
          <w:u w:val="single"/>
          <w:lang w:val="fr-FR"/>
        </w:rPr>
        <w:t>par l’adresse électronique de l’établissement</w:t>
      </w:r>
      <w:r>
        <w:rPr>
          <w:rFonts w:ascii="Calibri" w:eastAsia="Times New Roman" w:hAnsi="Calibri" w:cs="Arial"/>
          <w:sz w:val="22"/>
          <w:szCs w:val="22"/>
          <w:lang w:val="fr-FR"/>
        </w:rPr>
        <w:t xml:space="preserve"> à :</w:t>
      </w:r>
    </w:p>
    <w:p w:rsidR="005D27A5" w:rsidRDefault="006154BB">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pPr>
      <w:hyperlink r:id="rId7" w:history="1">
        <w:r>
          <w:rPr>
            <w:rStyle w:val="Internetlink"/>
            <w:rFonts w:ascii="Calibri" w:hAnsi="Calibri" w:cs="Arial"/>
            <w:b/>
            <w:bCs/>
            <w:sz w:val="22"/>
            <w:szCs w:val="22"/>
            <w:lang w:val="fr-FR"/>
          </w:rPr>
          <w:t>daac@ac-orleans-tours.fr</w:t>
        </w:r>
      </w:hyperlink>
    </w:p>
    <w:p w:rsidR="005D27A5" w:rsidRDefault="006154BB">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Calibri" w:hAnsi="Calibri" w:cs="Arial"/>
          <w:b/>
          <w:bCs/>
          <w:lang w:val="fr-FR"/>
        </w:rPr>
        <w:t>L’inscription sera validée par la Daac par courrier électronique vers l’adresse électronique de l’établissement</w:t>
      </w:r>
    </w:p>
    <w:p w:rsidR="005D27A5" w:rsidRDefault="006154BB">
      <w:pPr>
        <w:pStyle w:val="PrformatHTML"/>
        <w:jc w:val="center"/>
      </w:pPr>
      <w:r>
        <w:rPr>
          <w:rFonts w:ascii="Calibri" w:eastAsia="Times New Roman" w:hAnsi="Calibri" w:cs="Arial"/>
          <w:bCs/>
          <w:color w:val="7F7F7F"/>
          <w:sz w:val="22"/>
          <w:szCs w:val="22"/>
          <w:lang w:val="fr-FR"/>
        </w:rPr>
        <w:t>Aucune modification ne sera acceptée après réception du formulaire</w:t>
      </w:r>
    </w:p>
    <w:p w:rsidR="005D27A5" w:rsidRDefault="005D27A5">
      <w:pPr>
        <w:pStyle w:val="PrformatHTML"/>
        <w:ind w:left="360"/>
        <w:rPr>
          <w:rFonts w:ascii="Calibri" w:hAnsi="Calibri"/>
          <w:sz w:val="22"/>
          <w:szCs w:val="22"/>
          <w:lang w:val="fr-FR"/>
        </w:rPr>
      </w:pPr>
    </w:p>
    <w:tbl>
      <w:tblPr>
        <w:tblW w:w="5000" w:type="pct"/>
        <w:tblLayout w:type="fixed"/>
        <w:tblCellMar>
          <w:left w:w="10" w:type="dxa"/>
          <w:right w:w="10" w:type="dxa"/>
        </w:tblCellMar>
        <w:tblLook w:val="0000" w:firstRow="0" w:lastRow="0" w:firstColumn="0" w:lastColumn="0" w:noHBand="0" w:noVBand="0"/>
      </w:tblPr>
      <w:tblGrid>
        <w:gridCol w:w="3258"/>
        <w:gridCol w:w="3257"/>
        <w:gridCol w:w="3263"/>
      </w:tblGrid>
      <w:tr w:rsidR="005D27A5">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D27A5" w:rsidRDefault="006154BB">
            <w:pPr>
              <w:pStyle w:val="Titre1"/>
            </w:pPr>
            <w:r>
              <w:rPr>
                <w:rFonts w:ascii="Calibri" w:hAnsi="Calibri" w:cs="Arial"/>
                <w:sz w:val="22"/>
                <w:szCs w:val="22"/>
                <w:lang w:val="fr-FR"/>
              </w:rPr>
              <w:t>Nom-Prénom</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D27A5" w:rsidRDefault="006154BB">
            <w:pPr>
              <w:pStyle w:val="Titre1"/>
            </w:pPr>
            <w:r>
              <w:rPr>
                <w:rFonts w:ascii="Calibri" w:hAnsi="Calibri" w:cs="Arial"/>
                <w:bCs/>
                <w:sz w:val="22"/>
                <w:szCs w:val="22"/>
                <w:lang w:val="fr-FR"/>
              </w:rPr>
              <w:t>Etablissement / Ville</w:t>
            </w:r>
          </w:p>
        </w:tc>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D27A5" w:rsidRDefault="006154BB">
            <w:pPr>
              <w:pStyle w:val="Standard"/>
              <w:spacing w:after="0" w:line="240" w:lineRule="auto"/>
              <w:jc w:val="center"/>
            </w:pPr>
            <w:r>
              <w:rPr>
                <w:rFonts w:cs="Arial"/>
                <w:b/>
                <w:bCs/>
              </w:rPr>
              <w:t>Adresse électronique</w:t>
            </w:r>
          </w:p>
          <w:p w:rsidR="005D27A5" w:rsidRDefault="006154BB">
            <w:pPr>
              <w:pStyle w:val="Standard"/>
              <w:spacing w:after="0" w:line="240" w:lineRule="auto"/>
              <w:jc w:val="center"/>
            </w:pPr>
            <w:r>
              <w:rPr>
                <w:rFonts w:cs="Arial"/>
                <w:b/>
                <w:bCs/>
              </w:rPr>
              <w:t>de l’établissement</w:t>
            </w:r>
          </w:p>
        </w:tc>
      </w:tr>
      <w:tr w:rsidR="005D27A5">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b/>
                <w:bCs/>
              </w:rPr>
            </w:pPr>
          </w:p>
          <w:p w:rsidR="005D27A5" w:rsidRDefault="006154BB">
            <w:pPr>
              <w:pStyle w:val="Standard"/>
            </w:pPr>
            <w:r>
              <w:rPr>
                <w:rFonts w:cs="Arial"/>
                <w:b/>
                <w:bCs/>
              </w:rPr>
              <w:t>1)</w:t>
            </w:r>
          </w:p>
          <w:p w:rsidR="005D27A5" w:rsidRDefault="005D27A5">
            <w:pPr>
              <w:pStyle w:val="Standard"/>
              <w:rPr>
                <w:rFonts w:cs="Arial"/>
                <w:b/>
                <w:bCs/>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c>
          <w:tcPr>
            <w:tcW w:w="3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r>
      <w:tr w:rsidR="005D27A5">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b/>
                <w:bCs/>
              </w:rPr>
            </w:pPr>
          </w:p>
          <w:p w:rsidR="005D27A5" w:rsidRDefault="006154BB">
            <w:pPr>
              <w:pStyle w:val="Standard"/>
            </w:pPr>
            <w:r>
              <w:rPr>
                <w:rFonts w:cs="Arial"/>
                <w:b/>
                <w:bCs/>
              </w:rPr>
              <w:t>2)</w:t>
            </w:r>
          </w:p>
          <w:p w:rsidR="005D27A5" w:rsidRDefault="005D27A5">
            <w:pPr>
              <w:pStyle w:val="Standard"/>
              <w:rPr>
                <w:rFonts w:cs="Arial"/>
                <w:b/>
                <w:bCs/>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c>
          <w:tcPr>
            <w:tcW w:w="3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r>
      <w:tr w:rsidR="005D27A5">
        <w:tblPrEx>
          <w:tblCellMar>
            <w:top w:w="0" w:type="dxa"/>
            <w:bottom w:w="0" w:type="dxa"/>
          </w:tblCellMar>
        </w:tblPrEx>
        <w:trPr>
          <w:cantSplit/>
        </w:trPr>
        <w:tc>
          <w:tcPr>
            <w:tcW w:w="9637"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5D27A5" w:rsidRDefault="006154BB">
            <w:pPr>
              <w:pStyle w:val="Standard"/>
              <w:spacing w:after="0" w:line="240" w:lineRule="auto"/>
            </w:pPr>
            <w:r>
              <w:rPr>
                <w:rFonts w:cs="Arial"/>
                <w:b/>
                <w:bCs/>
              </w:rPr>
              <w:t xml:space="preserve">Dans le cas d’un nombre de demandes qui excéderait la jauge de </w:t>
            </w:r>
            <w:r>
              <w:rPr>
                <w:rFonts w:cs="Arial"/>
                <w:b/>
                <w:bCs/>
                <w:color w:val="FF0000"/>
              </w:rPr>
              <w:t>40</w:t>
            </w:r>
            <w:r>
              <w:rPr>
                <w:rFonts w:cs="Arial"/>
                <w:b/>
                <w:bCs/>
              </w:rPr>
              <w:t xml:space="preserve"> places, ne seraient retenues que les deux premières personnes inscrites par établissement.</w:t>
            </w:r>
          </w:p>
        </w:tc>
      </w:tr>
      <w:tr w:rsidR="005D27A5">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b/>
                <w:bCs/>
              </w:rPr>
            </w:pPr>
          </w:p>
          <w:p w:rsidR="005D27A5" w:rsidRDefault="006154BB">
            <w:pPr>
              <w:pStyle w:val="Standard"/>
            </w:pPr>
            <w:r>
              <w:rPr>
                <w:rFonts w:cs="Arial"/>
                <w:b/>
                <w:bCs/>
              </w:rPr>
              <w:t>3)</w:t>
            </w:r>
          </w:p>
          <w:p w:rsidR="005D27A5" w:rsidRDefault="005D27A5">
            <w:pPr>
              <w:pStyle w:val="Standard"/>
              <w:rPr>
                <w:rFonts w:cs="Arial"/>
                <w:b/>
                <w:bCs/>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c>
          <w:tcPr>
            <w:tcW w:w="3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r>
      <w:tr w:rsidR="005D27A5">
        <w:tblPrEx>
          <w:tblCellMar>
            <w:top w:w="0" w:type="dxa"/>
            <w:bottom w:w="0" w:type="dxa"/>
          </w:tblCellMar>
        </w:tblPrEx>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b/>
                <w:bCs/>
              </w:rPr>
            </w:pPr>
          </w:p>
          <w:p w:rsidR="005D27A5" w:rsidRDefault="006154BB">
            <w:pPr>
              <w:pStyle w:val="Standard"/>
            </w:pPr>
            <w:r>
              <w:rPr>
                <w:rFonts w:cs="Arial"/>
                <w:b/>
                <w:bCs/>
              </w:rPr>
              <w:t>4)</w:t>
            </w:r>
          </w:p>
          <w:p w:rsidR="005D27A5" w:rsidRDefault="005D27A5">
            <w:pPr>
              <w:pStyle w:val="Standard"/>
              <w:rPr>
                <w:rFonts w:cs="Arial"/>
                <w:b/>
                <w:bCs/>
              </w:rPr>
            </w:pP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c>
          <w:tcPr>
            <w:tcW w:w="3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D27A5" w:rsidRDefault="005D27A5">
            <w:pPr>
              <w:pStyle w:val="Standard"/>
              <w:rPr>
                <w:rFonts w:cs="Arial"/>
              </w:rPr>
            </w:pPr>
          </w:p>
        </w:tc>
      </w:tr>
    </w:tbl>
    <w:p w:rsidR="005D27A5" w:rsidRDefault="005D27A5">
      <w:pPr>
        <w:pStyle w:val="Standard"/>
        <w:spacing w:after="0" w:line="240" w:lineRule="auto"/>
      </w:pPr>
    </w:p>
    <w:p w:rsidR="005D27A5" w:rsidRDefault="005D27A5">
      <w:pPr>
        <w:pStyle w:val="Standard"/>
        <w:spacing w:after="0" w:line="240" w:lineRule="auto"/>
      </w:pPr>
    </w:p>
    <w:p w:rsidR="005D27A5" w:rsidRDefault="005D27A5">
      <w:pPr>
        <w:pStyle w:val="Standard"/>
        <w:spacing w:after="0" w:line="240" w:lineRule="auto"/>
      </w:pPr>
    </w:p>
    <w:sectPr w:rsidR="005D27A5">
      <w:headerReference w:type="default" r:id="rId8"/>
      <w:footerReference w:type="default" r:id="rId9"/>
      <w:pgSz w:w="11906" w:h="16838"/>
      <w:pgMar w:top="1740" w:right="1134" w:bottom="1138" w:left="1134" w:header="375"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AA2" w:rsidRDefault="00826AA2">
      <w:r>
        <w:separator/>
      </w:r>
    </w:p>
  </w:endnote>
  <w:endnote w:type="continuationSeparator" w:id="0">
    <w:p w:rsidR="00826AA2" w:rsidRDefault="0082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inionPro-Regular">
    <w:charset w:val="00"/>
    <w:family w:val="auto"/>
    <w:pitch w:val="variable"/>
  </w:font>
  <w:font w:name="Big Daily Shor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BB" w:rsidRDefault="006154BB">
    <w:pPr>
      <w:pStyle w:val="Pieddepage"/>
      <w:jc w:val="center"/>
    </w:pPr>
    <w:r>
      <w:rPr>
        <w:rFonts w:ascii="Arial" w:hAnsi="Arial" w:cs="Arial"/>
        <w:color w:val="808080"/>
        <w:sz w:val="16"/>
        <w:szCs w:val="16"/>
      </w:rPr>
      <w:t xml:space="preserve">Délégation académique à l’éducation artistique et culturelle – </w:t>
    </w:r>
    <w:hyperlink r:id="rId1" w:history="1">
      <w:r>
        <w:rPr>
          <w:rStyle w:val="Internetlink"/>
          <w:rFonts w:ascii="Arial" w:hAnsi="Arial" w:cs="Arial"/>
          <w:color w:val="808080"/>
          <w:sz w:val="16"/>
          <w:szCs w:val="16"/>
        </w:rPr>
        <w:t>daac@ac-orleans-tours.fr</w:t>
      </w:r>
    </w:hyperlink>
    <w:r>
      <w:rPr>
        <w:rFonts w:ascii="Arial" w:hAnsi="Arial" w:cs="Arial"/>
        <w:color w:val="808080"/>
        <w:sz w:val="16"/>
        <w:szCs w:val="16"/>
      </w:rPr>
      <w:t xml:space="preserve"> – Tél 02 38 79 46 59/60/61 </w:t>
    </w:r>
    <w:r>
      <w:rPr>
        <w:rFonts w:ascii="Arial" w:hAnsi="Arial" w:cs="Arial"/>
        <w:color w:val="808080"/>
        <w:sz w:val="16"/>
        <w:szCs w:val="16"/>
      </w:rPr>
      <w:br/>
    </w:r>
    <w:hyperlink r:id="rId2" w:history="1">
      <w:r>
        <w:rPr>
          <w:rStyle w:val="Internetlink"/>
          <w:rFonts w:ascii="Arial" w:hAnsi="Arial" w:cs="Arial"/>
          <w:sz w:val="16"/>
          <w:szCs w:val="16"/>
        </w:rPr>
        <w:t>https://www.ac-orleans-tours.fr/arts-et-culture-121837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AA2" w:rsidRDefault="00826AA2">
      <w:r>
        <w:rPr>
          <w:color w:val="000000"/>
        </w:rPr>
        <w:separator/>
      </w:r>
    </w:p>
  </w:footnote>
  <w:footnote w:type="continuationSeparator" w:id="0">
    <w:p w:rsidR="00826AA2" w:rsidRDefault="0082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BB" w:rsidRDefault="00826AA2">
    <w:pPr>
      <w:pStyle w:val="En-tte"/>
      <w:tabs>
        <w:tab w:val="clear" w:pos="9072"/>
        <w:tab w:val="right" w:pos="9638"/>
      </w:tabs>
    </w:pPr>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635</wp:posOffset>
          </wp:positionV>
          <wp:extent cx="956310" cy="539750"/>
          <wp:effectExtent l="0" t="0" r="0" b="0"/>
          <wp:wrapNone/>
          <wp:docPr id="2" name="Image 2" descr="logo entete - quadri - academie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entete - quadri - academie orleans-to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4BB">
      <w:tab/>
    </w:r>
    <w:r w:rsidR="0066057D">
      <w:t xml:space="preserve">                                                                                                                        </w:t>
    </w:r>
    <w:r w:rsidRPr="00E24788">
      <w:rPr>
        <w:noProof/>
      </w:rPr>
      <w:drawing>
        <wp:inline distT="0" distB="0" distL="0" distR="0">
          <wp:extent cx="2286000" cy="47244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472440"/>
                  </a:xfrm>
                  <a:prstGeom prst="rect">
                    <a:avLst/>
                  </a:prstGeom>
                  <a:noFill/>
                  <a:ln>
                    <a:noFill/>
                  </a:ln>
                </pic:spPr>
              </pic:pic>
            </a:graphicData>
          </a:graphic>
        </wp:inline>
      </w:drawing>
    </w:r>
    <w:r w:rsidR="006154B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D4F98"/>
    <w:multiLevelType w:val="multilevel"/>
    <w:tmpl w:val="6CBE437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A2"/>
    <w:rsid w:val="00500F6E"/>
    <w:rsid w:val="005D27A5"/>
    <w:rsid w:val="006154BB"/>
    <w:rsid w:val="0066057D"/>
    <w:rsid w:val="00826AA2"/>
    <w:rsid w:val="00D845C7"/>
    <w:rsid w:val="00FE5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C91A79D-2442-40C1-B226-E5A1D51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N w:val="0"/>
      <w:textAlignment w:val="baseline"/>
    </w:pPr>
    <w:rPr>
      <w:sz w:val="22"/>
      <w:szCs w:val="22"/>
      <w:lang w:eastAsia="en-US"/>
    </w:rPr>
  </w:style>
  <w:style w:type="paragraph" w:styleId="Titre1">
    <w:name w:val="heading 1"/>
    <w:basedOn w:val="Standard"/>
    <w:next w:val="Standard"/>
    <w:uiPriority w:val="9"/>
    <w:qFormat/>
    <w:pPr>
      <w:keepNext/>
      <w:spacing w:after="0" w:line="240" w:lineRule="auto"/>
      <w:jc w:val="center"/>
      <w:outlineLvl w:val="0"/>
    </w:pPr>
    <w:rPr>
      <w:rFonts w:ascii="Times New Roman" w:eastAsia="Times New Roman" w:hAnsi="Times New Roman" w:cs="Times New Roman"/>
      <w:b/>
      <w:sz w:val="24"/>
      <w:szCs w:val="24"/>
      <w:lang w:val="en-GB" w:eastAsia="fr-FR"/>
    </w:rPr>
  </w:style>
  <w:style w:type="paragraph" w:styleId="Titre3">
    <w:name w:val="heading 3"/>
    <w:basedOn w:val="Standard"/>
    <w:next w:val="Standard"/>
    <w:uiPriority w:val="9"/>
    <w:semiHidden/>
    <w:unhideWhenUsed/>
    <w:qFormat/>
    <w:pPr>
      <w:keepNext/>
      <w:keepLines/>
      <w:spacing w:before="40" w:after="0"/>
      <w:outlineLvl w:val="2"/>
    </w:pPr>
    <w:rPr>
      <w:rFonts w:ascii="Calibri Light" w:eastAsia="F" w:hAnsi="Calibri Light"/>
      <w:color w:val="1F4D7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autoSpaceDN w:val="0"/>
      <w:spacing w:after="160" w:line="259" w:lineRule="auto"/>
      <w:textAlignment w:val="baseline"/>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eastAsia="fr-FR"/>
    </w:rPr>
  </w:style>
  <w:style w:type="paragraph" w:styleId="Sansinterligne">
    <w:name w:val="No Spacing"/>
    <w:pPr>
      <w:suppressAutoHyphens/>
      <w:autoSpaceDN w:val="0"/>
      <w:textAlignment w:val="baseline"/>
    </w:pPr>
    <w:rPr>
      <w:sz w:val="22"/>
      <w:szCs w:val="22"/>
      <w:lang w:eastAsia="en-US"/>
    </w:rPr>
  </w:style>
  <w:style w:type="paragraph" w:customStyle="1" w:styleId="Aucunstyle">
    <w:name w:val="[Aucun style]"/>
    <w:pPr>
      <w:autoSpaceDN w:val="0"/>
      <w:spacing w:line="288" w:lineRule="auto"/>
      <w:textAlignment w:val="center"/>
    </w:pPr>
    <w:rPr>
      <w:rFonts w:ascii="MinionPro-Regular" w:eastAsia="MinionPro-Regular" w:hAnsi="MinionPro-Regular"/>
      <w:color w:val="000000"/>
      <w:sz w:val="24"/>
      <w:szCs w:val="22"/>
      <w:lang w:eastAsia="en-US"/>
    </w:rPr>
  </w:style>
  <w:style w:type="paragraph" w:customStyle="1" w:styleId="texte">
    <w:name w:val="texte"/>
    <w:basedOn w:val="Aucunstyle"/>
    <w:pPr>
      <w:suppressAutoHyphens/>
    </w:pPr>
    <w:rPr>
      <w:rFonts w:ascii="Big Daily Short" w:eastAsia="Big Daily Short" w:hAnsi="Big Daily Short" w:cs="Big Daily Short"/>
      <w:sz w:val="22"/>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rPr>
      <w:color w:val="0000FF"/>
      <w:u w:val="single"/>
    </w:rPr>
  </w:style>
  <w:style w:type="character" w:customStyle="1" w:styleId="Titre1Car">
    <w:name w:val="Titre 1 Car"/>
    <w:rPr>
      <w:rFonts w:ascii="Times New Roman" w:eastAsia="Times New Roman" w:hAnsi="Times New Roman" w:cs="Times New Roman"/>
      <w:b/>
      <w:sz w:val="24"/>
      <w:szCs w:val="24"/>
      <w:lang w:val="en-GB" w:eastAsia="fr-FR"/>
    </w:rPr>
  </w:style>
  <w:style w:type="character" w:customStyle="1" w:styleId="PrformatHTMLCar">
    <w:name w:val="Préformaté HTML Car"/>
    <w:rPr>
      <w:rFonts w:ascii="Arial Unicode MS" w:eastAsia="Arial Unicode MS" w:hAnsi="Arial Unicode MS" w:cs="Arial Unicode MS"/>
      <w:sz w:val="20"/>
      <w:szCs w:val="20"/>
      <w:lang w:val="en-GB" w:eastAsia="fr-FR"/>
    </w:rPr>
  </w:style>
  <w:style w:type="character" w:customStyle="1" w:styleId="Titre3Car">
    <w:name w:val="Titre 3 Car"/>
    <w:rPr>
      <w:rFonts w:ascii="Calibri Light" w:eastAsia="F" w:hAnsi="Calibri Light" w:cs="F"/>
      <w:color w:val="1F4D78"/>
      <w:sz w:val="24"/>
      <w:szCs w:val="24"/>
    </w:rPr>
  </w:style>
  <w:style w:type="character" w:customStyle="1" w:styleId="FootnoteSymbol">
    <w:name w:val="Footnote Symbol"/>
  </w:style>
  <w:style w:type="numbering" w:customStyle="1" w:styleId="NoList">
    <w:name w:val="No List"/>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ac@ac-orleans-t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c-orleans-tours.fr/arts-et-culture-121837" TargetMode="External"/><Relationship Id="rId1" Type="http://schemas.openxmlformats.org/officeDocument/2006/relationships/hyperlink" Target="mailto:daac@ac-orleans-tour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AC\2024-2025\Formation-Animations%20p&#233;dagogiques\Journ&#233;es%20p&#233;dagogiques\Fondation%20du%20Doute%2016-10-24%20ou%203-11-24\Fondationdudoute%20%206-11%20-%20Journ&#233;e%20p&#233;dagogique%202024%20-%20Lance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Fondationdudoute  6-11 - Journée pédagogique 2024 - Lancement</Template>
  <TotalTime>5</TotalTime>
  <Pages>3</Pages>
  <Words>804</Words>
  <Characters>4425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5219</CharactersWithSpaces>
  <SharedDoc>false</SharedDoc>
  <HLinks>
    <vt:vector size="18" baseType="variant">
      <vt:variant>
        <vt:i4>4259939</vt:i4>
      </vt:variant>
      <vt:variant>
        <vt:i4>0</vt:i4>
      </vt:variant>
      <vt:variant>
        <vt:i4>0</vt:i4>
      </vt:variant>
      <vt:variant>
        <vt:i4>5</vt:i4>
      </vt:variant>
      <vt:variant>
        <vt:lpwstr>mailto:daac@ac-orleans-tours.fr</vt:lpwstr>
      </vt:variant>
      <vt:variant>
        <vt:lpwstr/>
      </vt:variant>
      <vt:variant>
        <vt:i4>2818169</vt:i4>
      </vt:variant>
      <vt:variant>
        <vt:i4>3</vt:i4>
      </vt:variant>
      <vt:variant>
        <vt:i4>0</vt:i4>
      </vt:variant>
      <vt:variant>
        <vt:i4>5</vt:i4>
      </vt:variant>
      <vt:variant>
        <vt:lpwstr>https://www.ac-orleans-tours.fr/arts-et-culture-121837</vt:lpwstr>
      </vt:variant>
      <vt:variant>
        <vt:lpwstr/>
      </vt:variant>
      <vt:variant>
        <vt:i4>4259939</vt:i4>
      </vt:variant>
      <vt:variant>
        <vt:i4>0</vt:i4>
      </vt:variant>
      <vt:variant>
        <vt:i4>0</vt:i4>
      </vt:variant>
      <vt:variant>
        <vt:i4>5</vt:i4>
      </vt:variant>
      <vt:variant>
        <vt:lpwstr>mailto:daac@ac-orleans-tours.fr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PAULMIER</dc:creator>
  <cp:keywords/>
  <cp:lastModifiedBy>Isabelle PAULMIER</cp:lastModifiedBy>
  <cp:revision>1</cp:revision>
  <cp:lastPrinted>2023-08-31T12:20:00Z</cp:lastPrinted>
  <dcterms:created xsi:type="dcterms:W3CDTF">2024-09-05T11:59:00Z</dcterms:created>
  <dcterms:modified xsi:type="dcterms:W3CDTF">2024-09-05T12:04:00Z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